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Standardni uslovi nabavne porudžbine</w:t>
      </w:r>
    </w:p>
    <w:tbl>
      <w:tblPr>
        <w:tblStyle w:val="Table"/>
        <w:tblW w:type="auto" w:w="0"/>
        <w:tblLook w:firstRow="0" w:lastRow="0" w:firstColumn="0" w:lastColumn="0" w:noHBand="0" w:noVBand="0" w:val="0000"/>
      </w:tblPr>
      <w:tblGrid>
        <w:gridCol w:w="3960"/>
        <w:gridCol w:w="3960"/>
      </w:tblGrid>
      <w:tr>
        <w:tc>
          <w:tcPr/>
          <w:p>
            <w:pPr>
              <w:pStyle w:val="FirstParagraph"/>
            </w:pPr>
            <w:r>
              <w:rPr>
                <w:b/>
                <w:bCs/>
              </w:rPr>
              <w:t xml:space="preserve">Polje</w:t>
            </w:r>
          </w:p>
        </w:tc>
        <w:tc>
          <w:tcPr/>
          <w:p>
            <w:pPr>
              <w:pStyle w:val="BodyText"/>
            </w:pPr>
            <w:r>
              <w:rPr>
                <w:b/>
                <w:bCs/>
              </w:rPr>
              <w:t xml:space="preserve">Vrednost</w:t>
            </w:r>
          </w:p>
        </w:tc>
      </w:tr>
      <w:tr>
        <w:tc>
          <w:tcPr/>
          <w:p>
            <w:pPr>
              <w:pStyle w:val="BodyText"/>
            </w:pPr>
            <w:r>
              <w:t xml:space="preserve">Proizvod</w:t>
            </w:r>
          </w:p>
        </w:tc>
        <w:tc>
          <w:tcPr/>
          <w:p>
            <w:pPr>
              <w:pStyle w:val="BodyText"/>
            </w:pPr>
            <w:r>
              <w:t xml:space="preserve">Qastio</w:t>
            </w:r>
          </w:p>
        </w:tc>
      </w:tr>
      <w:tr>
        <w:tc>
          <w:tcPr/>
          <w:p>
            <w:pPr>
              <w:pStyle w:val="BodyText"/>
            </w:pPr>
            <w:r>
              <w:t xml:space="preserve">Operator</w:t>
            </w:r>
          </w:p>
        </w:tc>
        <w:tc>
          <w:tcPr/>
          <w:p>
            <w:pPr>
              <w:pStyle w:val="BodyText"/>
            </w:pPr>
            <w:r>
              <w:t xml:space="preserve">FOODIT SOLUTIONS DOO BEOGRAD (VOŽDOVAC)</w:t>
            </w:r>
          </w:p>
        </w:tc>
      </w:tr>
      <w:tr>
        <w:tc>
          <w:tcPr/>
          <w:p>
            <w:pPr>
              <w:pStyle w:val="BodyText"/>
            </w:pPr>
            <w:r>
              <w:t xml:space="preserve">Veb-sajt</w:t>
            </w:r>
          </w:p>
        </w:tc>
        <w:tc>
          <w:tcPr/>
          <w:p>
            <w:pPr>
              <w:pStyle w:val="BodyText"/>
            </w:pPr>
            <w:r>
              <w:t xml:space="preserve">https://qastio.app/</w:t>
            </w:r>
          </w:p>
        </w:tc>
      </w:tr>
      <w:tr>
        <w:tc>
          <w:tcPr/>
          <w:p>
            <w:pPr>
              <w:pStyle w:val="BodyText"/>
            </w:pPr>
            <w:r>
              <w:t xml:space="preserve">Verzija</w:t>
            </w:r>
          </w:p>
        </w:tc>
        <w:tc>
          <w:tcPr/>
          <w:p>
            <w:pPr>
              <w:pStyle w:val="BodyText"/>
            </w:pPr>
            <w:r>
              <w:t xml:space="preserve">v1.1</w:t>
            </w:r>
          </w:p>
        </w:tc>
      </w:tr>
      <w:tr>
        <w:tc>
          <w:tcPr/>
          <w:p>
            <w:pPr>
              <w:pStyle w:val="BodyText"/>
            </w:pPr>
            <w:r>
              <w:t xml:space="preserve">Datum objave</w:t>
            </w:r>
          </w:p>
        </w:tc>
        <w:tc>
          <w:tcPr/>
          <w:p>
            <w:pPr>
              <w:pStyle w:val="BodyText"/>
            </w:pPr>
            <w:r>
              <w:t xml:space="preserve">12. septembar 2026</w:t>
            </w:r>
          </w:p>
        </w:tc>
      </w:tr>
      <w:tr>
        <w:tc>
          <w:tcPr/>
          <w:p>
            <w:pPr>
              <w:pStyle w:val="BodyText"/>
            </w:pPr>
            <w:r>
              <w:t xml:space="preserve">Prethodna verzija</w:t>
            </w:r>
          </w:p>
        </w:tc>
        <w:tc>
          <w:tcPr/>
          <w:p>
            <w:pPr>
              <w:pStyle w:val="BodyText"/>
            </w:pPr>
            <w:r>
              <w:t xml:space="preserve">v1.0, objavljena 13. maja 2026</w:t>
            </w:r>
          </w:p>
        </w:tc>
      </w:tr>
      <w:tr>
        <w:tc>
          <w:tcPr/>
          <w:p>
            <w:pPr>
              <w:pStyle w:val="BodyText"/>
            </w:pPr>
            <w:r>
              <w:t xml:space="preserve">Status</w:t>
            </w:r>
          </w:p>
        </w:tc>
        <w:tc>
          <w:tcPr/>
          <w:p>
            <w:pPr>
              <w:pStyle w:val="BodyText"/>
            </w:pPr>
            <w:r>
              <w:t xml:space="preserve">Final Website Version</w:t>
            </w:r>
          </w:p>
        </w:tc>
      </w:tr>
      <w:tr>
        <w:tc>
          <w:tcPr/>
          <w:p>
            <w:pPr>
              <w:pStyle w:val="BodyText"/>
            </w:pPr>
            <w:r>
              <w:t xml:space="preserve">Klasifikacija</w:t>
            </w:r>
          </w:p>
        </w:tc>
        <w:tc>
          <w:tcPr/>
          <w:p>
            <w:pPr>
              <w:pStyle w:val="BodyText"/>
            </w:pPr>
            <w:r>
              <w:t xml:space="preserve">Javni pravni dokument veb-sajta</w:t>
            </w:r>
          </w:p>
        </w:tc>
      </w:tr>
      <w:tr>
        <w:tc>
          <w:tcPr/>
          <w:p>
            <w:pPr>
              <w:pStyle w:val="BodyText"/>
            </w:pPr>
            <w:r>
              <w:t xml:space="preserve">Merodavno pravo</w:t>
            </w:r>
          </w:p>
        </w:tc>
        <w:tc>
          <w:tcPr/>
          <w:p>
            <w:pPr>
              <w:pStyle w:val="BodyText"/>
            </w:pPr>
            <w:r>
              <w:t xml:space="preserve">Republika Srbija</w:t>
            </w:r>
          </w:p>
        </w:tc>
      </w:tr>
    </w:tbl>
    <w:p>
      <w:pPr>
        <w:pStyle w:val="BodyText"/>
      </w:pPr>
      <w:r>
        <w:rPr>
          <w:b/>
          <w:bCs/>
        </w:rPr>
        <w:t xml:space="preserve">1. Obim</w:t>
      </w:r>
    </w:p>
    <w:p>
      <w:pPr>
        <w:pStyle w:val="BodyText"/>
      </w:pPr>
      <w:r>
        <w:t xml:space="preserve">Ovi standardni uslovi primenjuju se na svaku nabavnu partiju, prednarudžbinu, oportunističku kupovinu, ponudu dobavljača ili potvrdu restorana kada se na njih upućuje u Qastio nabavnom modulu.</w:t>
      </w:r>
    </w:p>
    <w:p>
      <w:pPr>
        <w:pStyle w:val="BodyText"/>
      </w:pPr>
      <w:r>
        <w:rPr>
          <w:b/>
          <w:bCs/>
        </w:rPr>
        <w:t xml:space="preserve">2. Parametri porudžbine</w:t>
      </w:r>
    </w:p>
    <w:p>
      <w:pPr>
        <w:pStyle w:val="BodyText"/>
      </w:pPr>
      <w:r>
        <w:t xml:space="preserve">Svaka porudžbina mora sadržati identitet strana, robu, količinu, jedinicu mere, cenu, porez, valutu, rok važenja, rok i mesto isporuke ili preuzimanja, dokumente, reklamacioni rok i posebne uslove.</w:t>
      </w:r>
    </w:p>
    <w:p>
      <w:pPr>
        <w:pStyle w:val="BodyText"/>
      </w:pPr>
      <w:r>
        <w:rPr>
          <w:b/>
          <w:bCs/>
        </w:rPr>
        <w:t xml:space="preserve">3. Potvrda</w:t>
      </w:r>
    </w:p>
    <w:p>
      <w:pPr>
        <w:pStyle w:val="BodyText"/>
      </w:pPr>
      <w:r>
        <w:t xml:space="preserve">Porudžbina postaje obavezujuća kada je potvrđena u Platformi ili drugim prihvaćenim kanalom u skladu sa pravilima prikazanim u interfejsu. Snapshot uslova i parametara porudžbine treba čuvati radi dokazivanja.</w:t>
      </w:r>
    </w:p>
    <w:p>
      <w:pPr>
        <w:pStyle w:val="BodyText"/>
      </w:pPr>
      <w:r>
        <w:rPr>
          <w:b/>
          <w:bCs/>
        </w:rPr>
        <w:t xml:space="preserve">4. Isporuka i rizik</w:t>
      </w:r>
    </w:p>
    <w:p>
      <w:pPr>
        <w:pStyle w:val="BodyText"/>
      </w:pPr>
      <w:r>
        <w:t xml:space="preserve">Isporuka se vrši prema parametrima porudžbine. Rizik, troškovi, odgovornost za transport, temperaturni režim i prateću dokumentaciju određuju se pojedinačnom porudžbinom i merodavnim pravom.</w:t>
      </w:r>
    </w:p>
    <w:p>
      <w:pPr>
        <w:pStyle w:val="BodyText"/>
      </w:pPr>
      <w:r>
        <w:rPr>
          <w:b/>
          <w:bCs/>
        </w:rPr>
        <w:t xml:space="preserve">5. Reklamacije</w:t>
      </w:r>
    </w:p>
    <w:p>
      <w:pPr>
        <w:pStyle w:val="BodyText"/>
      </w:pPr>
      <w:r>
        <w:t xml:space="preserve">Vidljive nedostatke potrebno je prijaviti prilikom prijema ili u roku navedenom u porudžbini. Skrivene nedostatke treba prijaviti u razumnom roku nakon otkrivanja. Kvarljiva, sveža ili temperaturno osetljiva roba zahteva hitno obaveštenje.</w:t>
      </w:r>
    </w:p>
    <w:p>
      <w:pPr>
        <w:pStyle w:val="BodyText"/>
      </w:pPr>
      <w:r>
        <w:rPr>
          <w:b/>
          <w:bCs/>
        </w:rPr>
        <w:t xml:space="preserve">6. Plaćanje</w:t>
      </w:r>
    </w:p>
    <w:p>
      <w:pPr>
        <w:pStyle w:val="BodyText"/>
      </w:pPr>
      <w:r>
        <w:t xml:space="preserve">Plaćanje se vrši prema parametrima porudžbine. Ako je restoran dužan na avans, porudžbina može biti uslovljena potvrdom plaćanja. Dobavljački rokovi plaćanja prema Qastio ili restoranu određuju se pojedinačnim ugovorom ili porudžbinom.</w:t>
      </w:r>
    </w:p>
    <w:p>
      <w:pPr>
        <w:pStyle w:val="BodyText"/>
      </w:pPr>
      <w:r>
        <w:rPr>
          <w:b/>
          <w:bCs/>
        </w:rPr>
        <w:t xml:space="preserve">7. Uloga Qastio</w:t>
      </w:r>
    </w:p>
    <w:p>
      <w:pPr>
        <w:pStyle w:val="BodyText"/>
      </w:pPr>
      <w:r>
        <w:t xml:space="preserve">Qastio može obezbediti tehnički interfejs, agregaciju potražnje, evidenciju, komunikacioni tok i podršku. Qastio nije automatski proizvođač, skladištar ili logistički prevoznik robe, osim ako je to izričito navedeno u konkretnoj porudžbini.</w:t>
      </w:r>
    </w:p>
    <w:p>
      <w:pPr>
        <w:pStyle w:val="BodyText"/>
      </w:pPr>
      <w:r>
        <w:rPr>
          <w:b/>
          <w:bCs/>
        </w:rPr>
        <w:t xml:space="preserve">Podaci o operatoru</w:t>
      </w:r>
    </w:p>
    <w:tbl>
      <w:tblPr>
        <w:tblStyle w:val="Table"/>
        <w:tblW w:type="auto" w:w="0"/>
        <w:tblLook w:firstRow="0" w:lastRow="0" w:firstColumn="0" w:lastColumn="0" w:noHBand="0" w:noVBand="0" w:val="0000"/>
      </w:tblPr>
      <w:tblGrid>
        <w:gridCol w:w="3960"/>
        <w:gridCol w:w="3960"/>
      </w:tblGrid>
      <w:tr>
        <w:tc>
          <w:tcPr/>
          <w:p>
            <w:pPr>
              <w:pStyle w:val="FirstParagraph"/>
            </w:pPr>
            <w:r>
              <w:rPr>
                <w:b/>
                <w:bCs/>
              </w:rPr>
              <w:t xml:space="preserve">Polje</w:t>
            </w:r>
          </w:p>
        </w:tc>
        <w:tc>
          <w:tcPr/>
          <w:p>
            <w:pPr>
              <w:pStyle w:val="BodyText"/>
            </w:pPr>
            <w:r>
              <w:rPr>
                <w:b/>
                <w:bCs/>
              </w:rPr>
              <w:t xml:space="preserve">Vrednost</w:t>
            </w:r>
          </w:p>
        </w:tc>
      </w:tr>
      <w:tr>
        <w:tc>
          <w:tcPr/>
          <w:p>
            <w:pPr>
              <w:pStyle w:val="BodyText"/>
            </w:pPr>
            <w:r>
              <w:t xml:space="preserve">Pravni naziv</w:t>
            </w:r>
          </w:p>
        </w:tc>
        <w:tc>
          <w:tcPr/>
          <w:p>
            <w:pPr>
              <w:pStyle w:val="BodyText"/>
            </w:pPr>
            <w:r>
              <w:t xml:space="preserve">FOODIT SOLUTIONS DOO BEOGRAD (VOŽDOVAC)</w:t>
            </w:r>
          </w:p>
        </w:tc>
      </w:tr>
      <w:tr>
        <w:tc>
          <w:tcPr/>
          <w:p>
            <w:pPr>
              <w:pStyle w:val="BodyText"/>
            </w:pPr>
            <w:r>
              <w:t xml:space="preserve">Skraćeni naziv</w:t>
            </w:r>
          </w:p>
        </w:tc>
        <w:tc>
          <w:tcPr/>
          <w:p>
            <w:pPr>
              <w:pStyle w:val="BodyText"/>
            </w:pPr>
            <w:r>
              <w:t xml:space="preserve">FOODIT SOLUTIONS DOO</w:t>
            </w:r>
          </w:p>
        </w:tc>
      </w:tr>
      <w:tr>
        <w:tc>
          <w:tcPr/>
          <w:p>
            <w:pPr>
              <w:pStyle w:val="BodyText"/>
            </w:pPr>
            <w:r>
              <w:t xml:space="preserve">Matični broj</w:t>
            </w:r>
          </w:p>
        </w:tc>
        <w:tc>
          <w:tcPr/>
          <w:p>
            <w:pPr>
              <w:pStyle w:val="BodyText"/>
            </w:pPr>
            <w:r>
              <w:t xml:space="preserve">22319183</w:t>
            </w:r>
          </w:p>
        </w:tc>
      </w:tr>
      <w:tr>
        <w:tc>
          <w:tcPr/>
          <w:p>
            <w:pPr>
              <w:pStyle w:val="BodyText"/>
            </w:pPr>
            <w:r>
              <w:t xml:space="preserve">PIB</w:t>
            </w:r>
          </w:p>
        </w:tc>
        <w:tc>
          <w:tcPr/>
          <w:p>
            <w:pPr>
              <w:pStyle w:val="BodyText"/>
            </w:pPr>
            <w:r>
              <w:t xml:space="preserve">115827499</w:t>
            </w:r>
          </w:p>
        </w:tc>
      </w:tr>
      <w:tr>
        <w:tc>
          <w:tcPr/>
          <w:p>
            <w:pPr>
              <w:pStyle w:val="BodyText"/>
            </w:pPr>
            <w:r>
              <w:t xml:space="preserve">Sedište</w:t>
            </w:r>
          </w:p>
        </w:tc>
        <w:tc>
          <w:tcPr/>
          <w:p>
            <w:pPr>
              <w:pStyle w:val="BodyText"/>
            </w:pPr>
            <w:r>
              <w:t xml:space="preserve">Todora Dukina 44, Beograd (Voždovac), Republika Srbija</w:t>
            </w:r>
          </w:p>
        </w:tc>
      </w:tr>
      <w:tr>
        <w:tc>
          <w:tcPr/>
          <w:p>
            <w:pPr>
              <w:pStyle w:val="BodyText"/>
            </w:pPr>
            <w:r>
              <w:t xml:space="preserve">Email</w:t>
            </w:r>
          </w:p>
        </w:tc>
        <w:tc>
          <w:tcPr/>
          <w:p>
            <w:pPr>
              <w:pStyle w:val="BodyText"/>
            </w:pPr>
            <w:r>
              <w:t xml:space="preserve">privacy@qastio.app</w:t>
            </w:r>
          </w:p>
        </w:tc>
      </w:tr>
      <w:tr>
        <w:tc>
          <w:tcPr/>
          <w:p>
            <w:pPr>
              <w:pStyle w:val="BodyText"/>
            </w:pPr>
            <w:r>
              <w:t xml:space="preserve">Veb-sajt / domen platforme</w:t>
            </w:r>
          </w:p>
        </w:tc>
        <w:tc>
          <w:tcPr/>
          <w:p>
            <w:pPr>
              <w:pStyle w:val="BodyText"/>
            </w:pPr>
            <w:r>
              <w:t xml:space="preserve">https://qastio.app/</w:t>
            </w:r>
          </w:p>
        </w:tc>
      </w:tr>
      <w:tr>
        <w:tc>
          <w:tcPr/>
          <w:p>
            <w:pPr>
              <w:pStyle w:val="BodyText"/>
            </w:pPr>
            <w:r>
              <w:t xml:space="preserve">Zakonski zastupnik</w:t>
            </w:r>
          </w:p>
        </w:tc>
        <w:tc>
          <w:tcPr/>
          <w:p>
            <w:pPr>
              <w:pStyle w:val="BodyText"/>
            </w:pPr>
            <w:r>
              <w:t xml:space="preserve">Nikola Elez, Director</w:t>
            </w:r>
          </w:p>
        </w:tc>
      </w:tr>
    </w:tbl>
    <w:p>
      <w:pPr>
        <w:pStyle w:val="BodyText"/>
      </w:pPr>
      <w:r>
        <w:rPr>
          <w:b/>
          <w:bCs/>
        </w:rPr>
        <w:t xml:space="preserve">Završna napomena</w:t>
      </w:r>
    </w:p>
    <w:p>
      <w:pPr>
        <w:pStyle w:val="BodyText"/>
      </w:pPr>
      <w:r>
        <w:t xml:space="preserve">Ovaj dokument čini deo pravne dokumentacije platforme Qastio koju objavljuje Operator. Dokument ne ograničava nijedno obavezno pravo koje korisnicima pripada prema merodavnom pravu. Ako je određeni onboarding, plaćanje, nabavka, POS/API integracija ili odnos sa dobavljačem uređen dodatno prihvaćenim dokumentom, taj dokument se primenjuje zajedno sa ovim dokumentom i ima prednost u svom posebnom obimu.</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2026-09-13T22:17:06Z</dcterms:created>
  <dcterms:modified xsi:type="dcterms:W3CDTF">2026-09-13T22:17:06Z</dcterms:modified>
</cp:coreProperties>
</file>

<file path=docProps/custom.xml><?xml version="1.0" encoding="utf-8"?>
<Properties xmlns="http://schemas.openxmlformats.org/officeDocument/2006/custom-properties" xmlns:vt="http://schemas.openxmlformats.org/officeDocument/2006/docPropsVTypes"/>
</file>