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Okvirni uslovi za dobavljače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Polje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Vrednost</w:t>
            </w:r>
          </w:p>
        </w:tc>
      </w:tr>
      <w:tr>
        <w:tc>
          <w:tcPr/>
          <w:p>
            <w:pPr>
              <w:pStyle w:val="BodyText"/>
            </w:pPr>
            <w:r>
              <w:t xml:space="preserve">Proizvod</w:t>
            </w:r>
          </w:p>
        </w:tc>
        <w:tc>
          <w:tcPr/>
          <w:p>
            <w:pPr>
              <w:pStyle w:val="BodyText"/>
            </w:pPr>
            <w:r>
              <w:t xml:space="preserve">Qastio</w:t>
            </w:r>
          </w:p>
        </w:tc>
      </w:tr>
      <w:tr>
        <w:tc>
          <w:tcPr/>
          <w:p>
            <w:pPr>
              <w:pStyle w:val="BodyText"/>
            </w:pPr>
            <w:r>
              <w:t xml:space="preserve">Operator</w:t>
            </w:r>
          </w:p>
        </w:tc>
        <w:tc>
          <w:tcPr/>
          <w:p>
            <w:pPr>
              <w:pStyle w:val="BodyText"/>
            </w:pPr>
            <w:r>
              <w:t xml:space="preserve">FOODIT SOLUTIONS DOO BEOGRAD (VOŽDOVAC)</w:t>
            </w:r>
          </w:p>
        </w:tc>
      </w:tr>
      <w:tr>
        <w:tc>
          <w:tcPr/>
          <w:p>
            <w:pPr>
              <w:pStyle w:val="BodyText"/>
            </w:pPr>
            <w:r>
              <w:t xml:space="preserve">Veb-sajt</w:t>
            </w:r>
          </w:p>
        </w:tc>
        <w:tc>
          <w:tcPr/>
          <w:p>
            <w:pPr>
              <w:pStyle w:val="BodyText"/>
            </w:pPr>
            <w:r>
              <w:t xml:space="preserve">https://qastio.app/</w:t>
            </w:r>
          </w:p>
        </w:tc>
      </w:tr>
      <w:tr>
        <w:tc>
          <w:tcPr/>
          <w:p>
            <w:pPr>
              <w:pStyle w:val="BodyText"/>
            </w:pPr>
            <w:r>
              <w:t xml:space="preserve">Verzija</w:t>
            </w:r>
          </w:p>
        </w:tc>
        <w:tc>
          <w:tcPr/>
          <w:p>
            <w:pPr>
              <w:pStyle w:val="BodyText"/>
            </w:pPr>
            <w:r>
              <w:t xml:space="preserve">v1.1</w:t>
            </w:r>
          </w:p>
        </w:tc>
      </w:tr>
      <w:tr>
        <w:tc>
          <w:tcPr/>
          <w:p>
            <w:pPr>
              <w:pStyle w:val="BodyText"/>
            </w:pPr>
            <w:r>
              <w:t xml:space="preserve">Datum objave</w:t>
            </w:r>
          </w:p>
        </w:tc>
        <w:tc>
          <w:tcPr/>
          <w:p>
            <w:pPr>
              <w:pStyle w:val="BodyText"/>
            </w:pPr>
            <w:r>
              <w:t xml:space="preserve">12. septembar 2026</w:t>
            </w:r>
          </w:p>
        </w:tc>
      </w:tr>
      <w:tr>
        <w:tc>
          <w:tcPr/>
          <w:p>
            <w:pPr>
              <w:pStyle w:val="BodyText"/>
            </w:pPr>
            <w:r>
              <w:t xml:space="preserve">Prethodna verzija</w:t>
            </w:r>
          </w:p>
        </w:tc>
        <w:tc>
          <w:tcPr/>
          <w:p>
            <w:pPr>
              <w:pStyle w:val="BodyText"/>
            </w:pPr>
            <w:r>
              <w:t xml:space="preserve">v1.0, objavljena 13. maja 2026</w:t>
            </w:r>
          </w:p>
        </w:tc>
      </w:tr>
      <w:tr>
        <w:tc>
          <w:tcPr/>
          <w:p>
            <w:pPr>
              <w:pStyle w:val="BodyText"/>
            </w:pPr>
            <w:r>
              <w:t xml:space="preserve">Status</w:t>
            </w:r>
          </w:p>
        </w:tc>
        <w:tc>
          <w:tcPr/>
          <w:p>
            <w:pPr>
              <w:pStyle w:val="BodyText"/>
            </w:pPr>
            <w:r>
              <w:t xml:space="preserve">Final Website Version</w:t>
            </w:r>
          </w:p>
        </w:tc>
      </w:tr>
      <w:tr>
        <w:tc>
          <w:tcPr/>
          <w:p>
            <w:pPr>
              <w:pStyle w:val="BodyText"/>
            </w:pPr>
            <w:r>
              <w:t xml:space="preserve">Klasifikacija</w:t>
            </w:r>
          </w:p>
        </w:tc>
        <w:tc>
          <w:tcPr/>
          <w:p>
            <w:pPr>
              <w:pStyle w:val="BodyText"/>
            </w:pPr>
            <w:r>
              <w:t xml:space="preserve">Javni pravni dokument veb-sajta</w:t>
            </w:r>
          </w:p>
        </w:tc>
      </w:tr>
      <w:tr>
        <w:tc>
          <w:tcPr/>
          <w:p>
            <w:pPr>
              <w:pStyle w:val="BodyText"/>
            </w:pPr>
            <w:r>
              <w:t xml:space="preserve">Merodavno pravo</w:t>
            </w:r>
          </w:p>
        </w:tc>
        <w:tc>
          <w:tcPr/>
          <w:p>
            <w:pPr>
              <w:pStyle w:val="BodyText"/>
            </w:pPr>
            <w:r>
              <w:t xml:space="preserve">Republika Srbija</w:t>
            </w:r>
          </w:p>
        </w:tc>
      </w:tr>
    </w:tbl>
    <w:p>
      <w:pPr>
        <w:pStyle w:val="BodyText"/>
      </w:pPr>
      <w:r>
        <w:rPr>
          <w:b/>
          <w:bCs/>
        </w:rPr>
        <w:t xml:space="preserve">1. Obim</w:t>
      </w:r>
    </w:p>
    <w:p>
      <w:pPr>
        <w:pStyle w:val="BodyText"/>
      </w:pPr>
      <w:r>
        <w:t xml:space="preserve">Ovi uslovi uređuju uključivanje dobavljača u Qastio nabavni ekosistem, objavu ponuda, obradu zahteva restorana, potvrdu nabavnih partija, kvalitet robe, dokumentaciju, zabranu zaobilaženja Platforme i druga pravila saradnje.</w:t>
      </w:r>
    </w:p>
    <w:p>
      <w:pPr>
        <w:pStyle w:val="BodyText"/>
      </w:pPr>
      <w:r>
        <w:rPr>
          <w:b/>
          <w:bCs/>
        </w:rPr>
        <w:t xml:space="preserve">2. Status dobavljača</w:t>
      </w:r>
    </w:p>
    <w:p>
      <w:pPr>
        <w:pStyle w:val="BodyText"/>
      </w:pPr>
      <w:r>
        <w:t xml:space="preserve">Dobavljač ostaje samostalni prodavac svoje robe i odgovoran je za kvalitet, količinu, deklaracije, rok trajanja, temperaturni režim, pakovanje, cenu, fakturisanje, isporuku i zakonitost robe koju nudi ili isporučuje restoranima.</w:t>
      </w:r>
    </w:p>
    <w:p>
      <w:pPr>
        <w:pStyle w:val="BodyText"/>
      </w:pPr>
      <w:r>
        <w:rPr>
          <w:b/>
          <w:bCs/>
        </w:rPr>
        <w:t xml:space="preserve">3. Ponude i porudžbine</w:t>
      </w:r>
    </w:p>
    <w:p>
      <w:pPr>
        <w:pStyle w:val="BodyText"/>
      </w:pPr>
      <w:r>
        <w:t xml:space="preserve">Svaka ponuda mora sadržati tačne podatke o robi, ceni, porezu, količini, minimalnoj porudžbini, roku važenja, mestu isporuke ili preuzimanja, logističkim uslovima i svim ograničenjima. Konkretna nabavna porudžbina može biti dodatno uređena dokumentom Procurement Order Standard Terms i parametrima pojedinačne porudžbine.</w:t>
      </w:r>
    </w:p>
    <w:p>
      <w:pPr>
        <w:pStyle w:val="BodyText"/>
      </w:pPr>
      <w:r>
        <w:rPr>
          <w:b/>
          <w:bCs/>
        </w:rPr>
        <w:t xml:space="preserve">4. Kvalitet i usklađenost</w:t>
      </w:r>
    </w:p>
    <w:p>
      <w:pPr>
        <w:pStyle w:val="BodyText"/>
      </w:pPr>
      <w:r>
        <w:t xml:space="preserve">Dobavljač mora obezbediti da roba bude bezbedna, zakonita, pravilno označena, praćena potrebnim dokumentima i isporučena u skladu sa ugovorenim uslovima, merodavnim propisima i standardima sektora HoReCa.</w:t>
      </w:r>
    </w:p>
    <w:p>
      <w:pPr>
        <w:pStyle w:val="BodyText"/>
      </w:pPr>
      <w:r>
        <w:rPr>
          <w:b/>
          <w:bCs/>
        </w:rPr>
        <w:t xml:space="preserve">5. Reklamacije</w:t>
      </w:r>
    </w:p>
    <w:p>
      <w:pPr>
        <w:pStyle w:val="BodyText"/>
      </w:pPr>
      <w:r>
        <w:t xml:space="preserve">Reklamacije u vezi sa količinom, kvalitetom, dokumentima, rokom trajanja, ambalažom, deklaracijom, temperaturom, zamenom, povraćajem ili odobrenjem prvenstveno rešava Dobavljač u skladu sa nabavnom porudžbinom i zakonom.</w:t>
      </w:r>
    </w:p>
    <w:p>
      <w:pPr>
        <w:pStyle w:val="BodyText"/>
      </w:pPr>
      <w:r>
        <w:rPr>
          <w:b/>
          <w:bCs/>
        </w:rPr>
        <w:t xml:space="preserve">6. Zabrana zaobilaženja</w:t>
      </w:r>
    </w:p>
    <w:p>
      <w:pPr>
        <w:pStyle w:val="BodyText"/>
      </w:pPr>
      <w:r>
        <w:t xml:space="preserve">Dobavljač ne sme koristiti podatke dobijene preko Platforme da direktno zaobiđe Qastio, preusmeri porudžbine van Platforme ili zloupotrebi komercijalne podatke restorana, osim ako je to izričito dozvoljeno.</w:t>
      </w:r>
    </w:p>
    <w:p>
      <w:pPr>
        <w:pStyle w:val="BodyText"/>
      </w:pPr>
      <w:r>
        <w:rPr>
          <w:b/>
          <w:bCs/>
        </w:rPr>
        <w:t xml:space="preserve">7. Podaci i poverljivost</w:t>
      </w:r>
    </w:p>
    <w:p>
      <w:pPr>
        <w:pStyle w:val="BodyText"/>
      </w:pPr>
      <w:r>
        <w:t xml:space="preserve">Dobavljač sme koristiti podatke restorana i porudžbina samo za obradu konkretne nabavke, isporuku, fakturisanje, reklamacije i zakonske obaveze. Neovlašćeni prenos, prodaja ili korišćenje podataka u druge svrhe nije dozvoljeno.</w:t>
      </w:r>
    </w:p>
    <w:p>
      <w:pPr>
        <w:pStyle w:val="BodyText"/>
      </w:pPr>
      <w:r>
        <w:rPr>
          <w:b/>
          <w:bCs/>
        </w:rPr>
        <w:t xml:space="preserve">8. Suspenzija</w:t>
      </w:r>
    </w:p>
    <w:p>
      <w:pPr>
        <w:pStyle w:val="BodyText"/>
      </w:pPr>
      <w:r>
        <w:t xml:space="preserve">Operator može ograničiti ili suspendovati Dobavljača u slučaju sumnje na nezakonitost, netačne podatke, rizik po bezbednost hrane, ponovljene reklamacije, kršenje prava, zaobilaženje Platforme, zloupotrebu podataka ili reputacioni rizik.</w:t>
      </w:r>
    </w:p>
    <w:p>
      <w:pPr>
        <w:pStyle w:val="BodyText"/>
      </w:pPr>
      <w:r>
        <w:rPr>
          <w:b/>
          <w:bCs/>
        </w:rPr>
        <w:t xml:space="preserve">Podaci o operatoru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Polje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Vrednost</w:t>
            </w:r>
          </w:p>
        </w:tc>
      </w:tr>
      <w:tr>
        <w:tc>
          <w:tcPr/>
          <w:p>
            <w:pPr>
              <w:pStyle w:val="BodyText"/>
            </w:pPr>
            <w:r>
              <w:t xml:space="preserve">Pravni naziv</w:t>
            </w:r>
          </w:p>
        </w:tc>
        <w:tc>
          <w:tcPr/>
          <w:p>
            <w:pPr>
              <w:pStyle w:val="BodyText"/>
            </w:pPr>
            <w:r>
              <w:t xml:space="preserve">FOODIT SOLUTIONS DOO BEOGRAD (VOŽDOVAC)</w:t>
            </w:r>
          </w:p>
        </w:tc>
      </w:tr>
      <w:tr>
        <w:tc>
          <w:tcPr/>
          <w:p>
            <w:pPr>
              <w:pStyle w:val="BodyText"/>
            </w:pPr>
            <w:r>
              <w:t xml:space="preserve">Skraćeni naziv</w:t>
            </w:r>
          </w:p>
        </w:tc>
        <w:tc>
          <w:tcPr/>
          <w:p>
            <w:pPr>
              <w:pStyle w:val="BodyText"/>
            </w:pPr>
            <w:r>
              <w:t xml:space="preserve">FOODIT SOLUTIONS DOO</w:t>
            </w:r>
          </w:p>
        </w:tc>
      </w:tr>
      <w:tr>
        <w:tc>
          <w:tcPr/>
          <w:p>
            <w:pPr>
              <w:pStyle w:val="BodyText"/>
            </w:pPr>
            <w:r>
              <w:t xml:space="preserve">Matični broj</w:t>
            </w:r>
          </w:p>
        </w:tc>
        <w:tc>
          <w:tcPr/>
          <w:p>
            <w:pPr>
              <w:pStyle w:val="BodyText"/>
            </w:pPr>
            <w:r>
              <w:t xml:space="preserve">22319183</w:t>
            </w:r>
          </w:p>
        </w:tc>
      </w:tr>
      <w:tr>
        <w:tc>
          <w:tcPr/>
          <w:p>
            <w:pPr>
              <w:pStyle w:val="BodyText"/>
            </w:pPr>
            <w:r>
              <w:t xml:space="preserve">PIB</w:t>
            </w:r>
          </w:p>
        </w:tc>
        <w:tc>
          <w:tcPr/>
          <w:p>
            <w:pPr>
              <w:pStyle w:val="BodyText"/>
            </w:pPr>
            <w:r>
              <w:t xml:space="preserve">115827499</w:t>
            </w:r>
          </w:p>
        </w:tc>
      </w:tr>
      <w:tr>
        <w:tc>
          <w:tcPr/>
          <w:p>
            <w:pPr>
              <w:pStyle w:val="BodyText"/>
            </w:pPr>
            <w:r>
              <w:t xml:space="preserve">Sedište</w:t>
            </w:r>
          </w:p>
        </w:tc>
        <w:tc>
          <w:tcPr/>
          <w:p>
            <w:pPr>
              <w:pStyle w:val="BodyText"/>
            </w:pPr>
            <w:r>
              <w:t xml:space="preserve">Todora Dukina 44, Beograd (Voždovac), Republika Srbija</w:t>
            </w:r>
          </w:p>
        </w:tc>
      </w:tr>
      <w:tr>
        <w:tc>
          <w:tcPr/>
          <w:p>
            <w:pPr>
              <w:pStyle w:val="BodyText"/>
            </w:pPr>
            <w:r>
              <w:t xml:space="preserve">Email</w:t>
            </w:r>
          </w:p>
        </w:tc>
        <w:tc>
          <w:tcPr/>
          <w:p>
            <w:pPr>
              <w:pStyle w:val="BodyText"/>
            </w:pPr>
            <w:r>
              <w:t xml:space="preserve">privacy@qastio.app</w:t>
            </w:r>
          </w:p>
        </w:tc>
      </w:tr>
      <w:tr>
        <w:tc>
          <w:tcPr/>
          <w:p>
            <w:pPr>
              <w:pStyle w:val="BodyText"/>
            </w:pPr>
            <w:r>
              <w:t xml:space="preserve">Veb-sajt / domen platforme</w:t>
            </w:r>
          </w:p>
        </w:tc>
        <w:tc>
          <w:tcPr/>
          <w:p>
            <w:pPr>
              <w:pStyle w:val="BodyText"/>
            </w:pPr>
            <w:r>
              <w:t xml:space="preserve">https://qastio.app/</w:t>
            </w:r>
          </w:p>
        </w:tc>
      </w:tr>
      <w:tr>
        <w:tc>
          <w:tcPr/>
          <w:p>
            <w:pPr>
              <w:pStyle w:val="BodyText"/>
            </w:pPr>
            <w:r>
              <w:t xml:space="preserve">Zakonski zastupnik</w:t>
            </w:r>
          </w:p>
        </w:tc>
        <w:tc>
          <w:tcPr/>
          <w:p>
            <w:pPr>
              <w:pStyle w:val="BodyText"/>
            </w:pPr>
            <w:r>
              <w:t xml:space="preserve">Nikola Elez, Director</w:t>
            </w:r>
          </w:p>
        </w:tc>
      </w:tr>
    </w:tbl>
    <w:p>
      <w:pPr>
        <w:pStyle w:val="BodyText"/>
      </w:pPr>
      <w:r>
        <w:rPr>
          <w:b/>
          <w:bCs/>
        </w:rPr>
        <w:t xml:space="preserve">Završna napomena</w:t>
      </w:r>
    </w:p>
    <w:p>
      <w:pPr>
        <w:pStyle w:val="BodyText"/>
      </w:pPr>
      <w:r>
        <w:t xml:space="preserve">Ovaj dokument čini deo pravne dokumentacije platforme Qastio koju objavljuje Operator. Dokument ne ograničava nijedno obavezno pravo koje korisnicima pripada prema merodavnom pravu. Ako je određeni onboarding, plaćanje, nabavka, POS/API integracija ili odnos sa dobavljačem uređen dodatno prihvaćenim dokumentom, taj dokument se primenjuje zajedno sa ovim dokumentom i ima prednost u svom posebnom obimu.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2026-09-13T22:17:06Z</dcterms:created>
  <dcterms:modified xsi:type="dcterms:W3CDTF">2026-09-13T22:17:06Z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