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Fonts w:ascii="Times New Roman" w:cs="Times New Roman" w:eastAsia="Times New Roman" w:hAnsi="Times New Roman"/>
          <w:b w:val="1"/>
          <w:bCs w:val="1"/>
          <w:sz w:val="36"/>
          <w:szCs w:val="36"/>
          <w:rtl w:val="0"/>
        </w:rPr>
        <w:t xml:space="preserve">Supplier Framework Terms</w:t>
      </w:r>
      <w:r w:rsidDel="00000000" w:rsidR="00000000" w:rsidRPr="00000000">
        <w:rPr>
          <w:rtl w:val="0"/>
        </w:rPr>
      </w:r>
    </w:p>
    <w:p w:rsidR="00000000" w:rsidDel="00000000" w:rsidP="00000000" w:rsidRDefault="00000000" w:rsidRPr="00000000" w14:paraId="00000002">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Product: Qastio</w:t>
      </w:r>
      <w:r w:rsidDel="00000000" w:rsidR="00000000" w:rsidRPr="00000000">
        <w:rPr>
          <w:rtl w:val="0"/>
        </w:rPr>
      </w:r>
    </w:p>
    <w:p w:rsidR="00000000" w:rsidDel="00000000" w:rsidP="00000000" w:rsidRDefault="00000000" w:rsidRPr="00000000" w14:paraId="00000003">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Operator: CHATROOM DOO BEOGRAD</w:t>
      </w:r>
      <w:r w:rsidDel="00000000" w:rsidR="00000000" w:rsidRPr="00000000">
        <w:rPr>
          <w:rtl w:val="0"/>
        </w:rPr>
      </w:r>
    </w:p>
    <w:p w:rsidR="00000000" w:rsidDel="00000000" w:rsidP="00000000" w:rsidRDefault="00000000" w:rsidRPr="00000000" w14:paraId="00000004">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Website: https://menuwithai.com/</w:t>
      </w:r>
      <w:r w:rsidDel="00000000" w:rsidR="00000000" w:rsidRPr="00000000">
        <w:rPr>
          <w:rtl w:val="0"/>
        </w:rPr>
      </w:r>
    </w:p>
    <w:p w:rsidR="00000000" w:rsidDel="00000000" w:rsidP="00000000" w:rsidRDefault="00000000" w:rsidRPr="00000000" w14:paraId="00000005">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Version: v1.0</w:t>
      </w:r>
      <w:r w:rsidDel="00000000" w:rsidR="00000000" w:rsidRPr="00000000">
        <w:rPr>
          <w:rtl w:val="0"/>
        </w:rPr>
      </w:r>
    </w:p>
    <w:p w:rsidR="00000000" w:rsidDel="00000000" w:rsidP="00000000" w:rsidRDefault="00000000" w:rsidRPr="00000000" w14:paraId="00000006">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Publication date: 13 May 2026</w:t>
      </w:r>
      <w:r w:rsidDel="00000000" w:rsidR="00000000" w:rsidRPr="00000000">
        <w:rPr>
          <w:rtl w:val="0"/>
        </w:rPr>
      </w:r>
    </w:p>
    <w:p w:rsidR="00000000" w:rsidDel="00000000" w:rsidP="00000000" w:rsidRDefault="00000000" w:rsidRPr="00000000" w14:paraId="00000007">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Status: Final Website Version</w:t>
      </w:r>
      <w:r w:rsidDel="00000000" w:rsidR="00000000" w:rsidRPr="00000000">
        <w:rPr>
          <w:rtl w:val="0"/>
        </w:rPr>
      </w:r>
    </w:p>
    <w:p w:rsidR="00000000" w:rsidDel="00000000" w:rsidP="00000000" w:rsidRDefault="00000000" w:rsidRPr="00000000" w14:paraId="00000008">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Classification: Public / Website Legal Document</w:t>
      </w:r>
      <w:r w:rsidDel="00000000" w:rsidR="00000000" w:rsidRPr="00000000">
        <w:rPr>
          <w:rtl w:val="0"/>
        </w:rPr>
      </w:r>
    </w:p>
    <w:p w:rsidR="00000000" w:rsidDel="00000000" w:rsidP="00000000" w:rsidRDefault="00000000" w:rsidRPr="00000000" w14:paraId="00000009">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Governing law: Republic of Serbia</w:t>
      </w:r>
      <w:r w:rsidDel="00000000" w:rsidR="00000000" w:rsidRPr="00000000">
        <w:rPr>
          <w:rtl w:val="0"/>
        </w:rPr>
      </w:r>
    </w:p>
    <w:p w:rsidR="00000000" w:rsidDel="00000000" w:rsidP="00000000" w:rsidRDefault="00000000" w:rsidRPr="00000000" w14:paraId="0000000A">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Operator Details</w:t>
      </w:r>
      <w:r w:rsidDel="00000000" w:rsidR="00000000" w:rsidRPr="00000000">
        <w:rPr>
          <w:rtl w:val="0"/>
        </w:rPr>
      </w:r>
    </w:p>
    <w:tbl>
      <w:tblPr>
        <w:tblStyle w:val="Table1"/>
        <w:tblW w:w="9406.0" w:type="dxa"/>
        <w:jc w:val="center"/>
        <w:tblLayout w:type="fixed"/>
        <w:tblLook w:val="0400"/>
      </w:tblPr>
      <w:tblGrid>
        <w:gridCol w:w="4703"/>
        <w:gridCol w:w="4703"/>
        <w:tblGridChange w:id="0">
          <w:tblGrid>
            <w:gridCol w:w="4703"/>
            <w:gridCol w:w="4703"/>
          </w:tblGrid>
        </w:tblGridChange>
      </w:tblGrid>
      <w:tr>
        <w:trPr>
          <w:cantSplit w:val="0"/>
          <w:tblHeader w:val="0"/>
        </w:trPr>
        <w:tc>
          <w:tcPr>
            <w:tcBorders>
              <w:top w:color="000000" w:space="0" w:sz="6"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0B">
            <w:pPr>
              <w:spacing w:after="120" w:line="276" w:lineRule="auto"/>
              <w:rPr/>
            </w:pPr>
            <w:r w:rsidDel="00000000" w:rsidR="00000000" w:rsidRPr="00000000">
              <w:rPr>
                <w:rFonts w:ascii="Times New Roman" w:cs="Times New Roman" w:eastAsia="Times New Roman" w:hAnsi="Times New Roman"/>
                <w:sz w:val="24"/>
                <w:szCs w:val="24"/>
                <w:rtl w:val="0"/>
              </w:rPr>
              <w:t xml:space="preserve">Legal name</w:t>
            </w: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0C">
            <w:pPr>
              <w:spacing w:after="120" w:line="276" w:lineRule="auto"/>
              <w:rPr/>
            </w:pPr>
            <w:r w:rsidDel="00000000" w:rsidR="00000000" w:rsidRPr="00000000">
              <w:rPr>
                <w:rFonts w:ascii="Times New Roman" w:cs="Times New Roman" w:eastAsia="Times New Roman" w:hAnsi="Times New Roman"/>
                <w:sz w:val="24"/>
                <w:szCs w:val="24"/>
                <w:rtl w:val="0"/>
              </w:rPr>
              <w:t xml:space="preserve">CHATROOM DOO BEOGRAD</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0D">
            <w:pPr>
              <w:spacing w:after="120" w:line="276" w:lineRule="auto"/>
              <w:rPr/>
            </w:pPr>
            <w:r w:rsidDel="00000000" w:rsidR="00000000" w:rsidRPr="00000000">
              <w:rPr>
                <w:rFonts w:ascii="Times New Roman" w:cs="Times New Roman" w:eastAsia="Times New Roman" w:hAnsi="Times New Roman"/>
                <w:sz w:val="24"/>
                <w:szCs w:val="24"/>
                <w:rtl w:val="0"/>
              </w:rPr>
              <w:t xml:space="preserve">Short name</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0E">
            <w:pPr>
              <w:spacing w:after="120" w:line="276" w:lineRule="auto"/>
              <w:rPr/>
            </w:pPr>
            <w:r w:rsidDel="00000000" w:rsidR="00000000" w:rsidRPr="00000000">
              <w:rPr>
                <w:rFonts w:ascii="Times New Roman" w:cs="Times New Roman" w:eastAsia="Times New Roman" w:hAnsi="Times New Roman"/>
                <w:sz w:val="24"/>
                <w:szCs w:val="24"/>
                <w:rtl w:val="0"/>
              </w:rPr>
              <w:t xml:space="preserve">CHATROOM DOO</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0F">
            <w:pPr>
              <w:spacing w:after="120" w:line="276" w:lineRule="auto"/>
              <w:rPr/>
            </w:pPr>
            <w:r w:rsidDel="00000000" w:rsidR="00000000" w:rsidRPr="00000000">
              <w:rPr>
                <w:rFonts w:ascii="Times New Roman" w:cs="Times New Roman" w:eastAsia="Times New Roman" w:hAnsi="Times New Roman"/>
                <w:sz w:val="24"/>
                <w:szCs w:val="24"/>
                <w:rtl w:val="0"/>
              </w:rPr>
              <w:t xml:space="preserve">Company registration number</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0">
            <w:pPr>
              <w:spacing w:after="120" w:line="276" w:lineRule="auto"/>
              <w:rPr/>
            </w:pPr>
            <w:r w:rsidDel="00000000" w:rsidR="00000000" w:rsidRPr="00000000">
              <w:rPr>
                <w:rFonts w:ascii="Times New Roman" w:cs="Times New Roman" w:eastAsia="Times New Roman" w:hAnsi="Times New Roman"/>
                <w:sz w:val="24"/>
                <w:szCs w:val="24"/>
                <w:rtl w:val="0"/>
              </w:rPr>
              <w:t xml:space="preserve">21844616</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1">
            <w:pPr>
              <w:spacing w:after="120" w:line="276" w:lineRule="auto"/>
              <w:rPr/>
            </w:pPr>
            <w:r w:rsidDel="00000000" w:rsidR="00000000" w:rsidRPr="00000000">
              <w:rPr>
                <w:rFonts w:ascii="Times New Roman" w:cs="Times New Roman" w:eastAsia="Times New Roman" w:hAnsi="Times New Roman"/>
                <w:sz w:val="24"/>
                <w:szCs w:val="24"/>
                <w:rtl w:val="0"/>
              </w:rPr>
              <w:t xml:space="preserve">Tax identification number (PIB)</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2">
            <w:pPr>
              <w:spacing w:after="120" w:line="276" w:lineRule="auto"/>
              <w:rPr/>
            </w:pPr>
            <w:r w:rsidDel="00000000" w:rsidR="00000000" w:rsidRPr="00000000">
              <w:rPr>
                <w:rFonts w:ascii="Times New Roman" w:cs="Times New Roman" w:eastAsia="Times New Roman" w:hAnsi="Times New Roman"/>
                <w:sz w:val="24"/>
                <w:szCs w:val="24"/>
                <w:rtl w:val="0"/>
              </w:rPr>
              <w:t xml:space="preserve">113317904</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3">
            <w:pPr>
              <w:spacing w:after="120" w:line="276" w:lineRule="auto"/>
              <w:rPr/>
            </w:pPr>
            <w:r w:rsidDel="00000000" w:rsidR="00000000" w:rsidRPr="00000000">
              <w:rPr>
                <w:rFonts w:ascii="Times New Roman" w:cs="Times New Roman" w:eastAsia="Times New Roman" w:hAnsi="Times New Roman"/>
                <w:sz w:val="24"/>
                <w:szCs w:val="24"/>
                <w:rtl w:val="0"/>
              </w:rPr>
              <w:t xml:space="preserve">Registered seat</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4">
            <w:pPr>
              <w:spacing w:after="120" w:line="276" w:lineRule="auto"/>
              <w:rPr/>
            </w:pPr>
            <w:r w:rsidDel="00000000" w:rsidR="00000000" w:rsidRPr="00000000">
              <w:rPr>
                <w:rFonts w:ascii="Times New Roman" w:cs="Times New Roman" w:eastAsia="Times New Roman" w:hAnsi="Times New Roman"/>
                <w:sz w:val="24"/>
                <w:szCs w:val="24"/>
                <w:rtl w:val="0"/>
              </w:rPr>
              <w:t xml:space="preserve">Vojvode Stepe 79, 11000 Belgrade, Vozdovac, Republic of Serbia</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5">
            <w:pPr>
              <w:spacing w:after="120" w:line="276" w:lineRule="auto"/>
              <w:rPr/>
            </w:pPr>
            <w:r w:rsidDel="00000000" w:rsidR="00000000" w:rsidRPr="00000000">
              <w:rPr>
                <w:rFonts w:ascii="Times New Roman" w:cs="Times New Roman" w:eastAsia="Times New Roman" w:hAnsi="Times New Roman"/>
                <w:sz w:val="24"/>
                <w:szCs w:val="24"/>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6">
            <w:pPr>
              <w:spacing w:after="120" w:lineRule="auto"/>
              <w:rPr/>
            </w:pPr>
            <w:r w:rsidDel="00000000" w:rsidR="00000000" w:rsidRPr="00000000">
              <w:rPr>
                <w:rtl w:val="0"/>
              </w:rPr>
              <w:t xml:space="preserve">ceo@inotium.com</w:t>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7">
            <w:pPr>
              <w:spacing w:after="120" w:line="276" w:lineRule="auto"/>
              <w:rPr/>
            </w:pPr>
            <w:r w:rsidDel="00000000" w:rsidR="00000000" w:rsidRPr="00000000">
              <w:rPr>
                <w:rFonts w:ascii="Times New Roman" w:cs="Times New Roman" w:eastAsia="Times New Roman" w:hAnsi="Times New Roman"/>
                <w:sz w:val="24"/>
                <w:szCs w:val="24"/>
                <w:rtl w:val="0"/>
              </w:rPr>
              <w:t xml:space="preserve">Website / Platform domain</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18">
            <w:pPr>
              <w:spacing w:after="120" w:line="276" w:lineRule="auto"/>
              <w:rPr/>
            </w:pPr>
            <w:r w:rsidDel="00000000" w:rsidR="00000000" w:rsidRPr="00000000">
              <w:rPr>
                <w:rFonts w:ascii="Times New Roman" w:cs="Times New Roman" w:eastAsia="Times New Roman" w:hAnsi="Times New Roman"/>
                <w:sz w:val="24"/>
                <w:szCs w:val="24"/>
                <w:rtl w:val="0"/>
              </w:rPr>
              <w:t xml:space="preserve">https://menuwithai.com/</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19">
            <w:pPr>
              <w:spacing w:after="120" w:line="276" w:lineRule="auto"/>
              <w:rPr/>
            </w:pPr>
            <w:r w:rsidDel="00000000" w:rsidR="00000000" w:rsidRPr="00000000">
              <w:rPr>
                <w:rFonts w:ascii="Times New Roman" w:cs="Times New Roman" w:eastAsia="Times New Roman" w:hAnsi="Times New Roman"/>
                <w:sz w:val="24"/>
                <w:szCs w:val="24"/>
                <w:rtl w:val="0"/>
              </w:rPr>
              <w:t xml:space="preserve">Legal representative</w:t>
            </w: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1A">
            <w:pPr>
              <w:spacing w:after="120" w:line="276" w:lineRule="auto"/>
              <w:rPr/>
            </w:pPr>
            <w:r w:rsidDel="00000000" w:rsidR="00000000" w:rsidRPr="00000000">
              <w:rPr>
                <w:rFonts w:ascii="Times New Roman" w:cs="Times New Roman" w:eastAsia="Times New Roman" w:hAnsi="Times New Roman"/>
                <w:sz w:val="24"/>
                <w:szCs w:val="24"/>
                <w:rtl w:val="0"/>
              </w:rPr>
              <w:t xml:space="preserve">Georgy Ronn, Director</w:t>
            </w:r>
            <w:r w:rsidDel="00000000" w:rsidR="00000000" w:rsidRPr="00000000">
              <w:rPr>
                <w:rtl w:val="0"/>
              </w:rPr>
            </w:r>
          </w:p>
        </w:tc>
      </w:tr>
    </w:tbl>
    <w:p w:rsidR="00000000" w:rsidDel="00000000" w:rsidP="00000000" w:rsidRDefault="00000000" w:rsidRPr="00000000" w14:paraId="0000001B">
      <w:pPr>
        <w:rPr/>
      </w:pPr>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Contents</w:t>
      </w:r>
      <w:r w:rsidDel="00000000" w:rsidR="00000000" w:rsidRPr="00000000">
        <w:rPr>
          <w:rtl w:val="0"/>
        </w:rPr>
      </w:r>
    </w:p>
    <w:p w:rsidR="00000000" w:rsidDel="00000000" w:rsidP="00000000" w:rsidRDefault="00000000" w:rsidRPr="00000000" w14:paraId="0000001D">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1. Scope and Acceptance</w:t>
      </w:r>
      <w:r w:rsidDel="00000000" w:rsidR="00000000" w:rsidRPr="00000000">
        <w:rPr>
          <w:rtl w:val="0"/>
        </w:rPr>
      </w:r>
    </w:p>
    <w:p w:rsidR="00000000" w:rsidDel="00000000" w:rsidP="00000000" w:rsidRDefault="00000000" w:rsidRPr="00000000" w14:paraId="0000001E">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These Supplier Framework Terms apply to any manufacturer, distributor, wholesaler, importer, reseller, producer, logistics-supported seller or other supplier participating in procurement offers, direct supply, limited lots, opportunistic purchases or Restaurant supply through Qastio. The Supplier is the entity identified in the onboarding record, supplier account, offer, purchase order, invoice, delivery document or written confirmation.</w:t>
      </w:r>
      <w:r w:rsidDel="00000000" w:rsidR="00000000" w:rsidRPr="00000000">
        <w:rPr>
          <w:rtl w:val="0"/>
        </w:rPr>
      </w:r>
    </w:p>
    <w:p w:rsidR="00000000" w:rsidDel="00000000" w:rsidP="00000000" w:rsidRDefault="00000000" w:rsidRPr="00000000" w14:paraId="0000001F">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Acceptance may occur by signature, electronic confirmation, account creation, submission of an offer, confirmation of a procurement order, issuance of an invoice, dispatch of goods, delivery of documents or any other performance of a supply transaction referring to the Platform.</w:t>
      </w:r>
      <w:r w:rsidDel="00000000" w:rsidR="00000000" w:rsidRPr="00000000">
        <w:rPr>
          <w:rtl w:val="0"/>
        </w:rPr>
      </w:r>
    </w:p>
    <w:p w:rsidR="00000000" w:rsidDel="00000000" w:rsidP="00000000" w:rsidRDefault="00000000" w:rsidRPr="00000000" w14:paraId="00000020">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2. Supplier Status</w:t>
      </w:r>
      <w:r w:rsidDel="00000000" w:rsidR="00000000" w:rsidRPr="00000000">
        <w:rPr>
          <w:rtl w:val="0"/>
        </w:rPr>
      </w:r>
    </w:p>
    <w:p w:rsidR="00000000" w:rsidDel="00000000" w:rsidP="00000000" w:rsidRDefault="00000000" w:rsidRPr="00000000" w14:paraId="00000021">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The Supplier acts as an independent seller or supply participant and is not an employee, agent, partner, franchisee or representative of the Operator. The Supplier is responsible for all licences, permits, product approvals, import/export compliance, sanitary compliance, storage, transport, tax obligations, documentation and quality controls required for its products.</w:t>
      </w:r>
      <w:r w:rsidDel="00000000" w:rsidR="00000000" w:rsidRPr="00000000">
        <w:rPr>
          <w:rtl w:val="0"/>
        </w:rPr>
      </w:r>
    </w:p>
    <w:p w:rsidR="00000000" w:rsidDel="00000000" w:rsidP="00000000" w:rsidRDefault="00000000" w:rsidRPr="00000000" w14:paraId="00000022">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3. Procurement Orders</w:t>
      </w:r>
      <w:r w:rsidDel="00000000" w:rsidR="00000000" w:rsidRPr="00000000">
        <w:rPr>
          <w:rtl w:val="0"/>
        </w:rPr>
      </w:r>
    </w:p>
    <w:p w:rsidR="00000000" w:rsidDel="00000000" w:rsidP="00000000" w:rsidRDefault="00000000" w:rsidRPr="00000000" w14:paraId="00000023">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Each procurement order, lot, offer, pre-order or limited opportunity should identify the product, category, SKU, specification, quantity, unit, price, currency, taxes, delivery location, delivery window, documents, temperature regime, shelf life, cancellation rules, returns, claims and payment terms. The specific procurement order prevails over these general terms for that transaction.</w:t>
      </w:r>
      <w:r w:rsidDel="00000000" w:rsidR="00000000" w:rsidRPr="00000000">
        <w:rPr>
          <w:rtl w:val="0"/>
        </w:rPr>
      </w:r>
    </w:p>
    <w:p w:rsidR="00000000" w:rsidDel="00000000" w:rsidP="00000000" w:rsidRDefault="00000000" w:rsidRPr="00000000" w14:paraId="00000024">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4. Product Quality and Documents</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Products must match the agreed description, specification, quality grade, shelf life, origin, packaging, labelling and legal requirements.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Supplier must provide invoices, delivery notes, certificates, declarations, origin documents, batch data, shelf-life information, storage instructions and recall information when requested.</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Supplier must immediately notify the Operator and affected Restaurants of any safety risk, recall, defective lot, temperature breach, regulatory issue, price error, stock shortage or delivery risk.</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Supplier is responsible for product replacement, refund, credit note, recall, claim handling and regulatory cooperation to the extent caused by Supplier goods or Supplier actions.</w:t>
      </w:r>
    </w:p>
    <w:p w:rsidR="00000000" w:rsidDel="00000000" w:rsidP="00000000" w:rsidRDefault="00000000" w:rsidRPr="00000000" w14:paraId="00000029">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5. Opportunistic Procurement</w:t>
      </w:r>
      <w:r w:rsidDel="00000000" w:rsidR="00000000" w:rsidRPr="00000000">
        <w:rPr>
          <w:rtl w:val="0"/>
        </w:rPr>
      </w:r>
    </w:p>
    <w:p w:rsidR="00000000" w:rsidDel="00000000" w:rsidP="00000000" w:rsidRDefault="00000000" w:rsidRPr="00000000" w14:paraId="0000002A">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Opportunistic procurement means limited-time or limited-volume procurement opportunities arising from surplus stock, seasonal lots, overproduction, short-term discounts, cancelled orders, special supplier conditions or another market opportunity. Supplier must disclose all material limitations, shelf-life constraints, quality differences, logistics limitations and return rules before the offer is published.</w:t>
      </w:r>
      <w:r w:rsidDel="00000000" w:rsidR="00000000" w:rsidRPr="00000000">
        <w:rPr>
          <w:rtl w:val="0"/>
        </w:rPr>
      </w:r>
    </w:p>
    <w:p w:rsidR="00000000" w:rsidDel="00000000" w:rsidP="00000000" w:rsidRDefault="00000000" w:rsidRPr="00000000" w14:paraId="0000002B">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6. Confidentiality and Non-Circumvention</w:t>
      </w:r>
      <w:r w:rsidDel="00000000" w:rsidR="00000000" w:rsidRPr="00000000">
        <w:rPr>
          <w:rtl w:val="0"/>
        </w:rPr>
      </w:r>
    </w:p>
    <w:p w:rsidR="00000000" w:rsidDel="00000000" w:rsidP="00000000" w:rsidRDefault="00000000" w:rsidRPr="00000000" w14:paraId="0000002C">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Supplier must not use Platform data, Restaurant contacts, aggregated demand, pricing intelligence, screenshots, procurement terms, order flows or analytics to circumvent the Operator, solicit Restaurants outside the permitted purpose, create competing buying groups based on disclosed Platform information or misuse commercially sensitive data.</w:t>
      </w:r>
      <w:r w:rsidDel="00000000" w:rsidR="00000000" w:rsidRPr="00000000">
        <w:rPr>
          <w:rtl w:val="0"/>
        </w:rPr>
      </w:r>
    </w:p>
    <w:p w:rsidR="00000000" w:rsidDel="00000000" w:rsidP="00000000" w:rsidRDefault="00000000" w:rsidRPr="00000000" w14:paraId="0000002D">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7. Payments and Taxes</w:t>
      </w:r>
      <w:r w:rsidDel="00000000" w:rsidR="00000000" w:rsidRPr="00000000">
        <w:rPr>
          <w:rtl w:val="0"/>
        </w:rPr>
      </w:r>
    </w:p>
    <w:p w:rsidR="00000000" w:rsidDel="00000000" w:rsidP="00000000" w:rsidRDefault="00000000" w:rsidRPr="00000000" w14:paraId="0000002E">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Payment terms are defined in the relevant procurement order, invoice, PSP arrangement or separate agreement. The Supplier is responsible for its own invoices, taxes, VAT, customs, declarations and accounting unless a specific legal model states otherwise. The Operator is not required to finance Restaurant purchases or assume Restaurant non-payment risk unless expressly agreed in writing.</w:t>
      </w:r>
      <w:r w:rsidDel="00000000" w:rsidR="00000000" w:rsidRPr="00000000">
        <w:rPr>
          <w:rtl w:val="0"/>
        </w:rPr>
      </w:r>
    </w:p>
    <w:p w:rsidR="00000000" w:rsidDel="00000000" w:rsidP="00000000" w:rsidRDefault="00000000" w:rsidRPr="00000000" w14:paraId="0000002F">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8. Suspension</w:t>
      </w:r>
      <w:r w:rsidDel="00000000" w:rsidR="00000000" w:rsidRPr="00000000">
        <w:rPr>
          <w:rtl w:val="0"/>
        </w:rPr>
      </w:r>
    </w:p>
    <w:p w:rsidR="00000000" w:rsidDel="00000000" w:rsidP="00000000" w:rsidRDefault="00000000" w:rsidRPr="00000000" w14:paraId="00000030">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The Operator may hide or suspend a Supplier, product or offer where there is a safety risk, repeated claims, missing documents, suspected fraud, circumvention, regulatory risk, false data, quality issue, delivery failure or reputational risk.</w:t>
      </w:r>
      <w:r w:rsidDel="00000000" w:rsidR="00000000" w:rsidRPr="00000000">
        <w:rPr>
          <w:rtl w:val="0"/>
        </w:rPr>
      </w:r>
    </w:p>
    <w:p w:rsidR="00000000" w:rsidDel="00000000" w:rsidP="00000000" w:rsidRDefault="00000000" w:rsidRPr="00000000" w14:paraId="00000031">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Operator Details</w:t>
      </w:r>
      <w:r w:rsidDel="00000000" w:rsidR="00000000" w:rsidRPr="00000000">
        <w:rPr>
          <w:rtl w:val="0"/>
        </w:rPr>
      </w:r>
    </w:p>
    <w:tbl>
      <w:tblPr>
        <w:tblStyle w:val="Table2"/>
        <w:tblW w:w="9406.0" w:type="dxa"/>
        <w:jc w:val="left"/>
        <w:tblInd w:w="-115.0" w:type="dxa"/>
        <w:tblLayout w:type="fixed"/>
        <w:tblLook w:val="0400"/>
      </w:tblPr>
      <w:tblGrid>
        <w:gridCol w:w="4703"/>
        <w:gridCol w:w="4703"/>
        <w:tblGridChange w:id="0">
          <w:tblGrid>
            <w:gridCol w:w="4703"/>
            <w:gridCol w:w="4703"/>
          </w:tblGrid>
        </w:tblGridChange>
      </w:tblGrid>
      <w:tr>
        <w:trPr>
          <w:cantSplit w:val="0"/>
          <w:tblHeader w:val="0"/>
        </w:trPr>
        <w:tc>
          <w:tcPr>
            <w:tcBorders>
              <w:top w:color="000000" w:space="0" w:sz="6"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2">
            <w:pPr>
              <w:spacing w:after="120" w:line="276" w:lineRule="auto"/>
              <w:rPr/>
            </w:pPr>
            <w:r w:rsidDel="00000000" w:rsidR="00000000" w:rsidRPr="00000000">
              <w:rPr>
                <w:rFonts w:ascii="Times New Roman" w:cs="Times New Roman" w:eastAsia="Times New Roman" w:hAnsi="Times New Roman"/>
                <w:b w:val="1"/>
                <w:bCs w:val="1"/>
                <w:sz w:val="24"/>
                <w:szCs w:val="24"/>
                <w:rtl w:val="0"/>
              </w:rPr>
              <w:t xml:space="preserve">Field</w:t>
            </w: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3">
            <w:pPr>
              <w:spacing w:after="120" w:line="276" w:lineRule="auto"/>
              <w:rPr/>
            </w:pPr>
            <w:r w:rsidDel="00000000" w:rsidR="00000000" w:rsidRPr="00000000">
              <w:rPr>
                <w:rFonts w:ascii="Times New Roman" w:cs="Times New Roman" w:eastAsia="Times New Roman" w:hAnsi="Times New Roman"/>
                <w:b w:val="1"/>
                <w:bCs w:val="1"/>
                <w:sz w:val="24"/>
                <w:szCs w:val="24"/>
                <w:rtl w:val="0"/>
              </w:rPr>
              <w:t xml:space="preserve">Value</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4">
            <w:pPr>
              <w:spacing w:after="120" w:line="276" w:lineRule="auto"/>
              <w:rPr/>
            </w:pPr>
            <w:r w:rsidDel="00000000" w:rsidR="00000000" w:rsidRPr="00000000">
              <w:rPr>
                <w:rFonts w:ascii="Times New Roman" w:cs="Times New Roman" w:eastAsia="Times New Roman" w:hAnsi="Times New Roman"/>
                <w:sz w:val="24"/>
                <w:szCs w:val="24"/>
                <w:rtl w:val="0"/>
              </w:rPr>
              <w:t xml:space="preserve">Operator</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5">
            <w:pPr>
              <w:spacing w:after="120" w:line="276" w:lineRule="auto"/>
              <w:rPr/>
            </w:pPr>
            <w:r w:rsidDel="00000000" w:rsidR="00000000" w:rsidRPr="00000000">
              <w:rPr>
                <w:rFonts w:ascii="Times New Roman" w:cs="Times New Roman" w:eastAsia="Times New Roman" w:hAnsi="Times New Roman"/>
                <w:sz w:val="24"/>
                <w:szCs w:val="24"/>
                <w:rtl w:val="0"/>
              </w:rPr>
              <w:t xml:space="preserve">CHATROOM DOO BEOGRAD</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6">
            <w:pPr>
              <w:spacing w:after="120" w:line="276" w:lineRule="auto"/>
              <w:rPr/>
            </w:pPr>
            <w:r w:rsidDel="00000000" w:rsidR="00000000" w:rsidRPr="00000000">
              <w:rPr>
                <w:rFonts w:ascii="Times New Roman" w:cs="Times New Roman" w:eastAsia="Times New Roman" w:hAnsi="Times New Roman"/>
                <w:sz w:val="24"/>
                <w:szCs w:val="24"/>
                <w:rtl w:val="0"/>
              </w:rPr>
              <w:t xml:space="preserve">Company registration number</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7">
            <w:pPr>
              <w:spacing w:after="120" w:line="276" w:lineRule="auto"/>
              <w:rPr/>
            </w:pPr>
            <w:r w:rsidDel="00000000" w:rsidR="00000000" w:rsidRPr="00000000">
              <w:rPr>
                <w:rFonts w:ascii="Times New Roman" w:cs="Times New Roman" w:eastAsia="Times New Roman" w:hAnsi="Times New Roman"/>
                <w:sz w:val="24"/>
                <w:szCs w:val="24"/>
                <w:rtl w:val="0"/>
              </w:rPr>
              <w:t xml:space="preserve">21844616</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8">
            <w:pPr>
              <w:spacing w:after="120" w:line="276" w:lineRule="auto"/>
              <w:rPr/>
            </w:pPr>
            <w:r w:rsidDel="00000000" w:rsidR="00000000" w:rsidRPr="00000000">
              <w:rPr>
                <w:rFonts w:ascii="Times New Roman" w:cs="Times New Roman" w:eastAsia="Times New Roman" w:hAnsi="Times New Roman"/>
                <w:sz w:val="24"/>
                <w:szCs w:val="24"/>
                <w:rtl w:val="0"/>
              </w:rPr>
              <w:t xml:space="preserve">Tax identification number (PIB)</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9">
            <w:pPr>
              <w:spacing w:after="120" w:line="276" w:lineRule="auto"/>
              <w:rPr/>
            </w:pPr>
            <w:r w:rsidDel="00000000" w:rsidR="00000000" w:rsidRPr="00000000">
              <w:rPr>
                <w:rFonts w:ascii="Times New Roman" w:cs="Times New Roman" w:eastAsia="Times New Roman" w:hAnsi="Times New Roman"/>
                <w:sz w:val="24"/>
                <w:szCs w:val="24"/>
                <w:rtl w:val="0"/>
              </w:rPr>
              <w:t xml:space="preserve">113317904</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A">
            <w:pPr>
              <w:spacing w:after="120" w:line="276" w:lineRule="auto"/>
              <w:rPr/>
            </w:pPr>
            <w:r w:rsidDel="00000000" w:rsidR="00000000" w:rsidRPr="00000000">
              <w:rPr>
                <w:rFonts w:ascii="Times New Roman" w:cs="Times New Roman" w:eastAsia="Times New Roman" w:hAnsi="Times New Roman"/>
                <w:sz w:val="24"/>
                <w:szCs w:val="24"/>
                <w:rtl w:val="0"/>
              </w:rPr>
              <w:t xml:space="preserve">Registered seat</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B">
            <w:pPr>
              <w:spacing w:after="120" w:line="276" w:lineRule="auto"/>
              <w:rPr/>
            </w:pPr>
            <w:r w:rsidDel="00000000" w:rsidR="00000000" w:rsidRPr="00000000">
              <w:rPr>
                <w:rFonts w:ascii="Times New Roman" w:cs="Times New Roman" w:eastAsia="Times New Roman" w:hAnsi="Times New Roman"/>
                <w:sz w:val="24"/>
                <w:szCs w:val="24"/>
                <w:rtl w:val="0"/>
              </w:rPr>
              <w:t xml:space="preserve">Vojvode Stepe 79, 11000 Belgrade, Vozdovac, Republic of Serbia</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C">
            <w:pPr>
              <w:spacing w:after="120" w:line="276" w:lineRule="auto"/>
              <w:rPr/>
            </w:pPr>
            <w:r w:rsidDel="00000000" w:rsidR="00000000" w:rsidRPr="00000000">
              <w:rPr>
                <w:rFonts w:ascii="Times New Roman" w:cs="Times New Roman" w:eastAsia="Times New Roman" w:hAnsi="Times New Roman"/>
                <w:sz w:val="24"/>
                <w:szCs w:val="24"/>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D">
            <w:pPr>
              <w:spacing w:after="120" w:lineRule="auto"/>
              <w:rPr/>
            </w:pPr>
            <w:r w:rsidDel="00000000" w:rsidR="00000000" w:rsidRPr="00000000">
              <w:rPr>
                <w:rtl w:val="0"/>
              </w:rPr>
              <w:t xml:space="preserve">ceo@inotium.com</w:t>
            </w:r>
          </w:p>
        </w:tc>
      </w:tr>
      <w:tr>
        <w:trPr>
          <w:cantSplit w:val="0"/>
          <w:tblHeader w:val="0"/>
        </w:trPr>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3E">
            <w:pPr>
              <w:spacing w:after="120" w:line="276" w:lineRule="auto"/>
              <w:rPr/>
            </w:pPr>
            <w:r w:rsidDel="00000000" w:rsidR="00000000" w:rsidRPr="00000000">
              <w:rPr>
                <w:rFonts w:ascii="Times New Roman" w:cs="Times New Roman" w:eastAsia="Times New Roman" w:hAnsi="Times New Roman"/>
                <w:sz w:val="24"/>
                <w:szCs w:val="24"/>
                <w:rtl w:val="0"/>
              </w:rPr>
              <w:t xml:space="preserve">Website</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top"/>
          </w:tcPr>
          <w:p w:rsidR="00000000" w:rsidDel="00000000" w:rsidP="00000000" w:rsidRDefault="00000000" w:rsidRPr="00000000" w14:paraId="0000003F">
            <w:pPr>
              <w:spacing w:after="120" w:line="276" w:lineRule="auto"/>
              <w:rPr/>
            </w:pPr>
            <w:r w:rsidDel="00000000" w:rsidR="00000000" w:rsidRPr="00000000">
              <w:rPr>
                <w:rFonts w:ascii="Times New Roman" w:cs="Times New Roman" w:eastAsia="Times New Roman" w:hAnsi="Times New Roman"/>
                <w:sz w:val="24"/>
                <w:szCs w:val="24"/>
                <w:rtl w:val="0"/>
              </w:rPr>
              <w:t xml:space="preserve">https://menuwithai.com/</w:t>
            </w:r>
            <w:r w:rsidDel="00000000" w:rsidR="00000000" w:rsidRPr="00000000">
              <w:rPr>
                <w:rtl w:val="0"/>
              </w:rPr>
            </w:r>
          </w:p>
        </w:tc>
      </w:tr>
      <w:tr>
        <w:trPr>
          <w:cantSplit w:val="0"/>
          <w:tblHeader w:val="0"/>
        </w:trPr>
        <w:tc>
          <w:tcPr>
            <w:tcBorders>
              <w:top w:color="000000" w:space="0" w:sz="4" w:val="single"/>
              <w:left w:color="000000" w:space="0" w:sz="6" w:val="single"/>
              <w:bottom w:color="000000" w:space="0" w:sz="6" w:val="single"/>
              <w:right w:color="000000" w:space="0" w:sz="4" w:val="single"/>
            </w:tcBorders>
            <w:vAlign w:val="top"/>
          </w:tcPr>
          <w:p w:rsidR="00000000" w:rsidDel="00000000" w:rsidP="00000000" w:rsidRDefault="00000000" w:rsidRPr="00000000" w14:paraId="00000040">
            <w:pPr>
              <w:spacing w:after="120" w:line="276" w:lineRule="auto"/>
              <w:rPr/>
            </w:pPr>
            <w:r w:rsidDel="00000000" w:rsidR="00000000" w:rsidRPr="00000000">
              <w:rPr>
                <w:rFonts w:ascii="Times New Roman" w:cs="Times New Roman" w:eastAsia="Times New Roman" w:hAnsi="Times New Roman"/>
                <w:sz w:val="24"/>
                <w:szCs w:val="24"/>
                <w:rtl w:val="0"/>
              </w:rPr>
              <w:t xml:space="preserve">Legal representative</w:t>
            </w: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vAlign w:val="top"/>
          </w:tcPr>
          <w:p w:rsidR="00000000" w:rsidDel="00000000" w:rsidP="00000000" w:rsidRDefault="00000000" w:rsidRPr="00000000" w14:paraId="00000041">
            <w:pPr>
              <w:spacing w:after="120" w:line="276" w:lineRule="auto"/>
              <w:rPr/>
            </w:pPr>
            <w:r w:rsidDel="00000000" w:rsidR="00000000" w:rsidRPr="00000000">
              <w:rPr>
                <w:rFonts w:ascii="Times New Roman" w:cs="Times New Roman" w:eastAsia="Times New Roman" w:hAnsi="Times New Roman"/>
                <w:sz w:val="24"/>
                <w:szCs w:val="24"/>
                <w:rtl w:val="0"/>
              </w:rPr>
              <w:t xml:space="preserve">Georgy Ronn, Director</w:t>
            </w:r>
            <w:r w:rsidDel="00000000" w:rsidR="00000000" w:rsidRPr="00000000">
              <w:rPr>
                <w:rtl w:val="0"/>
              </w:rPr>
            </w:r>
          </w:p>
        </w:tc>
      </w:tr>
    </w:tbl>
    <w:p w:rsidR="00000000" w:rsidDel="00000000" w:rsidP="00000000" w:rsidRDefault="00000000" w:rsidRPr="00000000" w14:paraId="00000042">
      <w:pPr>
        <w:pStyle w:val="Heading1"/>
        <w:spacing w:after="120" w:line="276" w:lineRule="auto"/>
        <w:rPr/>
      </w:pPr>
      <w:r w:rsidDel="00000000" w:rsidR="00000000" w:rsidRPr="00000000">
        <w:rPr>
          <w:rFonts w:ascii="Times New Roman" w:cs="Times New Roman" w:eastAsia="Times New Roman" w:hAnsi="Times New Roman"/>
          <w:sz w:val="24"/>
          <w:szCs w:val="24"/>
          <w:rtl w:val="0"/>
        </w:rPr>
        <w:t xml:space="preserve">Final Disclaimer</w:t>
      </w:r>
      <w:r w:rsidDel="00000000" w:rsidR="00000000" w:rsidRPr="00000000">
        <w:rPr>
          <w:rtl w:val="0"/>
        </w:rPr>
      </w:r>
    </w:p>
    <w:p w:rsidR="00000000" w:rsidDel="00000000" w:rsidP="00000000" w:rsidRDefault="00000000" w:rsidRPr="00000000" w14:paraId="00000043">
      <w:pPr>
        <w:spacing w:after="120" w:line="276" w:lineRule="auto"/>
        <w:jc w:val="both"/>
        <w:rPr/>
      </w:pPr>
      <w:r w:rsidDel="00000000" w:rsidR="00000000" w:rsidRPr="00000000">
        <w:rPr>
          <w:rFonts w:ascii="Times New Roman" w:cs="Times New Roman" w:eastAsia="Times New Roman" w:hAnsi="Times New Roman"/>
          <w:sz w:val="24"/>
          <w:szCs w:val="24"/>
          <w:rtl w:val="0"/>
        </w:rPr>
        <w:t xml:space="preserve">This document forms part of the Qastio legal documentation made available by the Operator. It does not limit any mandatory rights granted to users under applicable law. Where a specific onboarding, payment, procurement, POS/API integration or supplier arrangement is governed by an additional accepted document, that document applies together with this document and prevails within its specific scope.</w:t>
      </w:r>
      <w:r w:rsidDel="00000000" w:rsidR="00000000" w:rsidRPr="00000000">
        <w:rPr>
          <w:rtl w:val="0"/>
        </w:rPr>
      </w:r>
    </w:p>
    <w:sectPr>
      <w:headerReference r:id="rId7" w:type="default"/>
      <w:footerReference r:id="rId8" w:type="default"/>
      <w:pgSz w:h="15840" w:w="12240" w:orient="portrait"/>
      <w:pgMar w:bottom="1417" w:top="1417" w:left="1417" w:right="1417" w:header="680"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CHATROOM DOO BEOGRAD | 2026 | Page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Qastio | Supplier Framework Terms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240" w:lineRule="auto"/>
    </w:pPr>
    <w:rPr>
      <w:rFonts w:ascii="Times New Roman" w:cs="Times New Roman" w:eastAsia="Times New Roman" w:hAnsi="Times New Roman"/>
      <w:b w:val="1"/>
      <w:bCs w:val="1"/>
      <w:sz w:val="28"/>
      <w:szCs w:val="28"/>
    </w:rPr>
  </w:style>
  <w:style w:type="paragraph" w:styleId="Heading2">
    <w:name w:val="heading 2"/>
    <w:basedOn w:val="Normal"/>
    <w:next w:val="Normal"/>
    <w:pPr>
      <w:keepNext w:val="1"/>
      <w:keepLines w:val="1"/>
      <w:spacing w:after="120" w:before="120" w:lineRule="auto"/>
    </w:pPr>
    <w:rPr>
      <w:rFonts w:ascii="Times New Roman" w:cs="Times New Roman" w:eastAsia="Times New Roman" w:hAnsi="Times New Roman"/>
      <w:b w:val="1"/>
      <w:bCs w:val="1"/>
      <w:sz w:val="26"/>
      <w:szCs w:val="26"/>
    </w:rPr>
  </w:style>
  <w:style w:type="paragraph" w:styleId="Heading3">
    <w:name w:val="heading 3"/>
    <w:basedOn w:val="Normal"/>
    <w:next w:val="Normal"/>
    <w:pPr>
      <w:keepNext w:val="1"/>
      <w:keepLines w:val="1"/>
      <w:spacing w:after="120" w:before="120" w:lineRule="auto"/>
    </w:pPr>
    <w:rPr>
      <w:rFonts w:ascii="Times New Roman" w:cs="Times New Roman" w:eastAsia="Times New Roman" w:hAnsi="Times New Roman"/>
      <w:b w:val="1"/>
      <w:bCs w:val="1"/>
      <w:sz w:val="24"/>
      <w:szCs w:val="24"/>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Times New Roman" w:cs="Times New Roman" w:eastAsia="Times New Roman" w:hAnsi="Times New Roman"/>
      <w:b w:val="1"/>
      <w:bCs w:val="1"/>
      <w:color w:val="17365d"/>
      <w:sz w:val="36"/>
      <w:szCs w:val="36"/>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dnr3mV9MMZqVT8qzVTEtDp37wQ==">CgMxLjA4AHIhMWNTR04yRHpNLS03cGJYNldhLWtTU2xDdVRPTnlSdl8t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