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Dodatak o obradi podataka i pristupu podacima</w:t>
      </w:r>
    </w:p>
    <w:tbl>
      <w:tblPr>
        <w:tblStyle w:val="Table"/>
        <w:tblW w:type="auto" w:w="0"/>
        <w:tblLook w:firstRow="0" w:lastRow="0" w:firstColumn="0" w:lastColumn="0" w:noHBand="0" w:noVBand="0" w:val="0000"/>
      </w:tblPr>
      <w:tblGrid>
        <w:gridCol w:w="3960"/>
        <w:gridCol w:w="3960"/>
      </w:tblGrid>
      <w:tr>
        <w:tc>
          <w:tcPr/>
          <w:p>
            <w:pPr>
              <w:pStyle w:val="FirstParagraph"/>
            </w:pPr>
            <w:r>
              <w:rPr>
                <w:b/>
                <w:bCs/>
              </w:rPr>
              <w:t xml:space="preserve">Polje</w:t>
            </w:r>
          </w:p>
        </w:tc>
        <w:tc>
          <w:tcPr/>
          <w:p>
            <w:pPr>
              <w:pStyle w:val="BodyText"/>
            </w:pPr>
            <w:r>
              <w:rPr>
                <w:b/>
                <w:bCs/>
              </w:rPr>
              <w:t xml:space="preserve">Vrednost</w:t>
            </w:r>
          </w:p>
        </w:tc>
      </w:tr>
      <w:tr>
        <w:tc>
          <w:tcPr/>
          <w:p>
            <w:pPr>
              <w:pStyle w:val="BodyText"/>
            </w:pPr>
            <w:r>
              <w:t xml:space="preserve">Proizvod</w:t>
            </w:r>
          </w:p>
        </w:tc>
        <w:tc>
          <w:tcPr/>
          <w:p>
            <w:pPr>
              <w:pStyle w:val="BodyText"/>
            </w:pPr>
            <w:r>
              <w:t xml:space="preserve">Qastio</w:t>
            </w:r>
          </w:p>
        </w:tc>
      </w:tr>
      <w:tr>
        <w:tc>
          <w:tcPr/>
          <w:p>
            <w:pPr>
              <w:pStyle w:val="BodyText"/>
            </w:pPr>
            <w:r>
              <w:t xml:space="preserve">Operator</w:t>
            </w:r>
          </w:p>
        </w:tc>
        <w:tc>
          <w:tcPr/>
          <w:p>
            <w:pPr>
              <w:pStyle w:val="BodyText"/>
            </w:pPr>
            <w:r>
              <w:t xml:space="preserve">FOODIT SOLUTIONS DOO BEOGRAD (VOŽDOVAC)</w:t>
            </w:r>
          </w:p>
        </w:tc>
      </w:tr>
      <w:tr>
        <w:tc>
          <w:tcPr/>
          <w:p>
            <w:pPr>
              <w:pStyle w:val="BodyText"/>
            </w:pPr>
            <w:r>
              <w:t xml:space="preserve">Veb-sajt</w:t>
            </w:r>
          </w:p>
        </w:tc>
        <w:tc>
          <w:tcPr/>
          <w:p>
            <w:pPr>
              <w:pStyle w:val="BodyText"/>
            </w:pPr>
            <w:r>
              <w:t xml:space="preserve">https://qastio.app/</w:t>
            </w:r>
          </w:p>
        </w:tc>
      </w:tr>
      <w:tr>
        <w:tc>
          <w:tcPr/>
          <w:p>
            <w:pPr>
              <w:pStyle w:val="BodyText"/>
            </w:pPr>
            <w:r>
              <w:t xml:space="preserve">Verzija</w:t>
            </w:r>
          </w:p>
        </w:tc>
        <w:tc>
          <w:tcPr/>
          <w:p>
            <w:pPr>
              <w:pStyle w:val="BodyText"/>
            </w:pPr>
            <w:r>
              <w:t xml:space="preserve">v1.1</w:t>
            </w:r>
          </w:p>
        </w:tc>
      </w:tr>
      <w:tr>
        <w:tc>
          <w:tcPr/>
          <w:p>
            <w:pPr>
              <w:pStyle w:val="BodyText"/>
            </w:pPr>
            <w:r>
              <w:t xml:space="preserve">Datum objave</w:t>
            </w:r>
          </w:p>
        </w:tc>
        <w:tc>
          <w:tcPr/>
          <w:p>
            <w:pPr>
              <w:pStyle w:val="BodyText"/>
            </w:pPr>
            <w:r>
              <w:t xml:space="preserve">12. septembar 2026</w:t>
            </w:r>
          </w:p>
        </w:tc>
      </w:tr>
      <w:tr>
        <w:tc>
          <w:tcPr/>
          <w:p>
            <w:pPr>
              <w:pStyle w:val="BodyText"/>
            </w:pPr>
            <w:r>
              <w:t xml:space="preserve">Prethodna verzija</w:t>
            </w:r>
          </w:p>
        </w:tc>
        <w:tc>
          <w:tcPr/>
          <w:p>
            <w:pPr>
              <w:pStyle w:val="BodyText"/>
            </w:pPr>
            <w:r>
              <w:t xml:space="preserve">v1.0, objavljena 13. maja 2026</w:t>
            </w:r>
          </w:p>
        </w:tc>
      </w:tr>
      <w:tr>
        <w:tc>
          <w:tcPr/>
          <w:p>
            <w:pPr>
              <w:pStyle w:val="BodyText"/>
            </w:pPr>
            <w:r>
              <w:t xml:space="preserve">Status</w:t>
            </w:r>
          </w:p>
        </w:tc>
        <w:tc>
          <w:tcPr/>
          <w:p>
            <w:pPr>
              <w:pStyle w:val="BodyText"/>
            </w:pPr>
            <w:r>
              <w:t xml:space="preserve">Final Website Version</w:t>
            </w:r>
          </w:p>
        </w:tc>
      </w:tr>
      <w:tr>
        <w:tc>
          <w:tcPr/>
          <w:p>
            <w:pPr>
              <w:pStyle w:val="BodyText"/>
            </w:pPr>
            <w:r>
              <w:t xml:space="preserve">Klasifikacija</w:t>
            </w:r>
          </w:p>
        </w:tc>
        <w:tc>
          <w:tcPr/>
          <w:p>
            <w:pPr>
              <w:pStyle w:val="BodyText"/>
            </w:pPr>
            <w:r>
              <w:t xml:space="preserve">Javni pravni dokument veb-sajta</w:t>
            </w:r>
          </w:p>
        </w:tc>
      </w:tr>
      <w:tr>
        <w:tc>
          <w:tcPr/>
          <w:p>
            <w:pPr>
              <w:pStyle w:val="BodyText"/>
            </w:pPr>
            <w:r>
              <w:t xml:space="preserve">Merodavno pravo</w:t>
            </w:r>
          </w:p>
        </w:tc>
        <w:tc>
          <w:tcPr/>
          <w:p>
            <w:pPr>
              <w:pStyle w:val="BodyText"/>
            </w:pPr>
            <w:r>
              <w:t xml:space="preserve">Republika Srbija</w:t>
            </w:r>
          </w:p>
        </w:tc>
      </w:tr>
    </w:tbl>
    <w:p>
      <w:pPr>
        <w:pStyle w:val="BodyText"/>
      </w:pPr>
      <w:r>
        <w:rPr>
          <w:b/>
          <w:bCs/>
        </w:rPr>
        <w:t xml:space="preserve">1. Obim</w:t>
      </w:r>
    </w:p>
    <w:p>
      <w:pPr>
        <w:pStyle w:val="BodyText"/>
      </w:pPr>
      <w:r>
        <w:t xml:space="preserve">Ovaj dodatak uređuje uloge, ovlašćenja i ograničenja u vezi sa obradom podataka i pristupom podacima restorana, gostiju, zaposlenih, POS/API sistema, porudžbina, menija, SKU, prodaje, nabavne analitike i drugih podataka koji se obrađuju kroz Platformu.</w:t>
      </w:r>
    </w:p>
    <w:p>
      <w:pPr>
        <w:pStyle w:val="BodyText"/>
      </w:pPr>
      <w:r>
        <w:rPr>
          <w:b/>
          <w:bCs/>
        </w:rPr>
        <w:t xml:space="preserve">2. Uloge strana</w:t>
      </w:r>
    </w:p>
    <w:p>
      <w:pPr>
        <w:pStyle w:val="BodyText"/>
      </w:pPr>
      <w:r>
        <w:t xml:space="preserve">U zavisnosti od konkretne funkcije, Operator može postupati kao samostalni rukovalac, zajednički rukovalac ili obrađivač podataka. Restoran ostaje odgovoran za zakonitost podataka koje unosi, objavljuje ili stavlja na raspolaganje Qastio, uključujući meni, cene, alergene, podatke osoblja i pristup POS/API sistemu.</w:t>
      </w:r>
    </w:p>
    <w:p>
      <w:pPr>
        <w:pStyle w:val="BodyText"/>
      </w:pPr>
      <w:r>
        <w:rPr>
          <w:b/>
          <w:bCs/>
        </w:rPr>
        <w:t xml:space="preserve">3. Ovlašćenje za pristup</w:t>
      </w:r>
    </w:p>
    <w:p>
      <w:pPr>
        <w:pStyle w:val="BodyText"/>
      </w:pPr>
      <w:r>
        <w:t xml:space="preserve">Restoran mora potvrditi da ima pravo da Qastio omogući pristup izabranoj POS/API, menadžerskoj, nabavnoj ili drugoj sistemskoj funkciji. Pristup se ograničava na obim koji je potreban za aktiviranu funkciju.</w:t>
      </w:r>
    </w:p>
    <w:p>
      <w:pPr>
        <w:pStyle w:val="BodyText"/>
      </w:pPr>
      <w:r>
        <w:rPr>
          <w:b/>
          <w:bCs/>
        </w:rPr>
        <w:t xml:space="preserve">4. Obim podataka</w:t>
      </w:r>
    </w:p>
    <w:tbl>
      <w:tblPr>
        <w:tblStyle w:val="Table"/>
        <w:tblW w:type="auto" w:w="0"/>
        <w:tblLook w:firstRow="0" w:lastRow="0" w:firstColumn="0" w:lastColumn="0" w:noHBand="0" w:noVBand="0" w:val="0000"/>
      </w:tblPr>
      <w:tblGrid>
        <w:gridCol w:w="2640"/>
        <w:gridCol w:w="2640"/>
        <w:gridCol w:w="2640"/>
      </w:tblGrid>
      <w:tr>
        <w:tc>
          <w:tcPr/>
          <w:p>
            <w:pPr>
              <w:pStyle w:val="FirstParagraph"/>
            </w:pPr>
            <w:r>
              <w:rPr>
                <w:b/>
                <w:bCs/>
              </w:rPr>
              <w:t xml:space="preserve">Kategorija</w:t>
            </w:r>
          </w:p>
        </w:tc>
        <w:tc>
          <w:tcPr/>
          <w:p>
            <w:pPr>
              <w:pStyle w:val="BodyText"/>
            </w:pPr>
            <w:r>
              <w:rPr>
                <w:b/>
                <w:bCs/>
              </w:rPr>
              <w:t xml:space="preserve">Primeri</w:t>
            </w:r>
          </w:p>
        </w:tc>
        <w:tc>
          <w:tcPr/>
          <w:p>
            <w:pPr>
              <w:pStyle w:val="BodyText"/>
            </w:pPr>
            <w:r>
              <w:rPr>
                <w:b/>
                <w:bCs/>
              </w:rPr>
              <w:t xml:space="preserve">Svrha</w:t>
            </w:r>
          </w:p>
        </w:tc>
      </w:tr>
      <w:tr>
        <w:tc>
          <w:tcPr/>
          <w:p>
            <w:pPr>
              <w:pStyle w:val="BodyText"/>
            </w:pPr>
            <w:r>
              <w:t xml:space="preserve">Meni i operativni podaci</w:t>
            </w:r>
          </w:p>
        </w:tc>
        <w:tc>
          <w:tcPr/>
          <w:p>
            <w:pPr>
              <w:pStyle w:val="BodyText"/>
            </w:pPr>
            <w:r>
              <w:t xml:space="preserve">Jela, cene, alergeni, slike, stop-list, statusi</w:t>
            </w:r>
          </w:p>
        </w:tc>
        <w:tc>
          <w:tcPr/>
          <w:p>
            <w:pPr>
              <w:pStyle w:val="BodyText"/>
            </w:pPr>
            <w:r>
              <w:t xml:space="preserve">Prikaz menija i obrada porudžbina.</w:t>
            </w:r>
          </w:p>
        </w:tc>
      </w:tr>
      <w:tr>
        <w:tc>
          <w:tcPr/>
          <w:p>
            <w:pPr>
              <w:pStyle w:val="BodyText"/>
            </w:pPr>
            <w:r>
              <w:t xml:space="preserve">Porudžbine</w:t>
            </w:r>
          </w:p>
        </w:tc>
        <w:tc>
          <w:tcPr/>
          <w:p>
            <w:pPr>
              <w:pStyle w:val="BodyText"/>
            </w:pPr>
            <w:r>
              <w:t xml:space="preserve">Stavke, vreme, sto, pickup, status, napomene</w:t>
            </w:r>
          </w:p>
        </w:tc>
        <w:tc>
          <w:tcPr/>
          <w:p>
            <w:pPr>
              <w:pStyle w:val="BodyText"/>
            </w:pPr>
            <w:r>
              <w:t xml:space="preserve">Prenos porudžbine i podrška.</w:t>
            </w:r>
          </w:p>
        </w:tc>
      </w:tr>
      <w:tr>
        <w:tc>
          <w:tcPr/>
          <w:p>
            <w:pPr>
              <w:pStyle w:val="BodyText"/>
            </w:pPr>
            <w:r>
              <w:t xml:space="preserve">POS/API podaci</w:t>
            </w:r>
          </w:p>
        </w:tc>
        <w:tc>
          <w:tcPr/>
          <w:p>
            <w:pPr>
              <w:pStyle w:val="BodyText"/>
            </w:pPr>
            <w:r>
              <w:t xml:space="preserve">Prodaja, SKU, zalihe, modifikatori, statistika</w:t>
            </w:r>
          </w:p>
        </w:tc>
        <w:tc>
          <w:tcPr/>
          <w:p>
            <w:pPr>
              <w:pStyle w:val="BodyText"/>
            </w:pPr>
            <w:r>
              <w:t xml:space="preserve">Sinhronizacija, analitika i optimizacija.</w:t>
            </w:r>
          </w:p>
        </w:tc>
      </w:tr>
      <w:tr>
        <w:tc>
          <w:tcPr/>
          <w:p>
            <w:pPr>
              <w:pStyle w:val="BodyText"/>
            </w:pPr>
            <w:r>
              <w:t xml:space="preserve">Nabavni podaci</w:t>
            </w:r>
          </w:p>
        </w:tc>
        <w:tc>
          <w:tcPr/>
          <w:p>
            <w:pPr>
              <w:pStyle w:val="BodyText"/>
            </w:pPr>
            <w:r>
              <w:t xml:space="preserve">Kategorije, količine, prednarudžbine, dobavljačke ponude</w:t>
            </w:r>
          </w:p>
        </w:tc>
        <w:tc>
          <w:tcPr/>
          <w:p>
            <w:pPr>
              <w:pStyle w:val="BodyText"/>
            </w:pPr>
            <w:r>
              <w:t xml:space="preserve">Agregacija potražnje i nabavna funkcija.</w:t>
            </w:r>
          </w:p>
        </w:tc>
      </w:tr>
    </w:tbl>
    <w:p>
      <w:pPr>
        <w:pStyle w:val="BodyText"/>
      </w:pPr>
      <w:r>
        <w:rPr>
          <w:b/>
          <w:bCs/>
        </w:rPr>
        <w:t xml:space="preserve">5. Ograničenje svrhe</w:t>
      </w:r>
    </w:p>
    <w:p>
      <w:pPr>
        <w:pStyle w:val="BodyText"/>
      </w:pPr>
      <w:r>
        <w:t xml:space="preserve">Qastio koristi podatke samo za pružanje, održavanje, bezbednost, analitiku i unapređenje odobrenih funkcija Platforme, kao i za pravne, računovodstvene i sporove povezane sa tim funkcijama.</w:t>
      </w:r>
    </w:p>
    <w:p>
      <w:pPr>
        <w:pStyle w:val="BodyText"/>
      </w:pPr>
      <w:r>
        <w:rPr>
          <w:b/>
          <w:bCs/>
        </w:rPr>
        <w:t xml:space="preserve">6. Bezbednost i evidencije</w:t>
      </w:r>
    </w:p>
    <w:p>
      <w:pPr>
        <w:pStyle w:val="BodyText"/>
      </w:pPr>
      <w:r>
        <w:t xml:space="preserve">Operator čuva evidenciju pristupa, akcepta, podešavanja scope-a, API događaja, promena statusa i drugih relevantnih radnji kada je to potrebno za dokazivanje prava pristupa i zaštitu strana.</w:t>
      </w:r>
    </w:p>
    <w:p>
      <w:pPr>
        <w:pStyle w:val="BodyText"/>
      </w:pPr>
      <w:r>
        <w:rPr>
          <w:b/>
          <w:bCs/>
        </w:rPr>
        <w:t xml:space="preserve">7. Prestanak pristupa</w:t>
      </w:r>
    </w:p>
    <w:p>
      <w:pPr>
        <w:pStyle w:val="BodyText"/>
      </w:pPr>
      <w:r>
        <w:t xml:space="preserve">Restoran može zahtevati ograničenje ili ukidanje pristupa određenoj funkciji, osim kada su podaci potrebni za već započete porudžbine, zakonske obaveze, računovodstvo, sporove ili zaštitu prava.</w:t>
      </w:r>
    </w:p>
    <w:p>
      <w:pPr>
        <w:pStyle w:val="BodyText"/>
      </w:pPr>
      <w:r>
        <w:rPr>
          <w:b/>
          <w:bCs/>
        </w:rPr>
        <w:t xml:space="preserve">Podaci o operatoru</w:t>
      </w:r>
    </w:p>
    <w:tbl>
      <w:tblPr>
        <w:tblStyle w:val="Table"/>
        <w:tblW w:type="auto" w:w="0"/>
        <w:tblLook w:firstRow="0" w:lastRow="0" w:firstColumn="0" w:lastColumn="0" w:noHBand="0" w:noVBand="0" w:val="0000"/>
      </w:tblPr>
      <w:tblGrid>
        <w:gridCol w:w="3960"/>
        <w:gridCol w:w="3960"/>
      </w:tblGrid>
      <w:tr>
        <w:tc>
          <w:tcPr/>
          <w:p>
            <w:pPr>
              <w:pStyle w:val="FirstParagraph"/>
            </w:pPr>
            <w:r>
              <w:rPr>
                <w:b/>
                <w:bCs/>
              </w:rPr>
              <w:t xml:space="preserve">Polje</w:t>
            </w:r>
          </w:p>
        </w:tc>
        <w:tc>
          <w:tcPr/>
          <w:p>
            <w:pPr>
              <w:pStyle w:val="BodyText"/>
            </w:pPr>
            <w:r>
              <w:rPr>
                <w:b/>
                <w:bCs/>
              </w:rPr>
              <w:t xml:space="preserve">Vrednost</w:t>
            </w:r>
          </w:p>
        </w:tc>
      </w:tr>
      <w:tr>
        <w:tc>
          <w:tcPr/>
          <w:p>
            <w:pPr>
              <w:pStyle w:val="BodyText"/>
            </w:pPr>
            <w:r>
              <w:t xml:space="preserve">Pravni naziv</w:t>
            </w:r>
          </w:p>
        </w:tc>
        <w:tc>
          <w:tcPr/>
          <w:p>
            <w:pPr>
              <w:pStyle w:val="BodyText"/>
            </w:pPr>
            <w:r>
              <w:t xml:space="preserve">FOODIT SOLUTIONS DOO BEOGRAD (VOŽDOVAC)</w:t>
            </w:r>
          </w:p>
        </w:tc>
      </w:tr>
      <w:tr>
        <w:tc>
          <w:tcPr/>
          <w:p>
            <w:pPr>
              <w:pStyle w:val="BodyText"/>
            </w:pPr>
            <w:r>
              <w:t xml:space="preserve">Skraćeni naziv</w:t>
            </w:r>
          </w:p>
        </w:tc>
        <w:tc>
          <w:tcPr/>
          <w:p>
            <w:pPr>
              <w:pStyle w:val="BodyText"/>
            </w:pPr>
            <w:r>
              <w:t xml:space="preserve">FOODIT SOLUTIONS DOO</w:t>
            </w:r>
          </w:p>
        </w:tc>
      </w:tr>
      <w:tr>
        <w:tc>
          <w:tcPr/>
          <w:p>
            <w:pPr>
              <w:pStyle w:val="BodyText"/>
            </w:pPr>
            <w:r>
              <w:t xml:space="preserve">Matični broj</w:t>
            </w:r>
          </w:p>
        </w:tc>
        <w:tc>
          <w:tcPr/>
          <w:p>
            <w:pPr>
              <w:pStyle w:val="BodyText"/>
            </w:pPr>
            <w:r>
              <w:t xml:space="preserve">22319183</w:t>
            </w:r>
          </w:p>
        </w:tc>
      </w:tr>
      <w:tr>
        <w:tc>
          <w:tcPr/>
          <w:p>
            <w:pPr>
              <w:pStyle w:val="BodyText"/>
            </w:pPr>
            <w:r>
              <w:t xml:space="preserve">PIB</w:t>
            </w:r>
          </w:p>
        </w:tc>
        <w:tc>
          <w:tcPr/>
          <w:p>
            <w:pPr>
              <w:pStyle w:val="BodyText"/>
            </w:pPr>
            <w:r>
              <w:t xml:space="preserve">115827499</w:t>
            </w:r>
          </w:p>
        </w:tc>
      </w:tr>
      <w:tr>
        <w:tc>
          <w:tcPr/>
          <w:p>
            <w:pPr>
              <w:pStyle w:val="BodyText"/>
            </w:pPr>
            <w:r>
              <w:t xml:space="preserve">Sedište</w:t>
            </w:r>
          </w:p>
        </w:tc>
        <w:tc>
          <w:tcPr/>
          <w:p>
            <w:pPr>
              <w:pStyle w:val="BodyText"/>
            </w:pPr>
            <w:r>
              <w:t xml:space="preserve">Todora Dukina 44, Beograd (Voždovac), Republika Srbija</w:t>
            </w:r>
          </w:p>
        </w:tc>
      </w:tr>
      <w:tr>
        <w:tc>
          <w:tcPr/>
          <w:p>
            <w:pPr>
              <w:pStyle w:val="BodyText"/>
            </w:pPr>
            <w:r>
              <w:t xml:space="preserve">Email</w:t>
            </w:r>
          </w:p>
        </w:tc>
        <w:tc>
          <w:tcPr/>
          <w:p>
            <w:pPr>
              <w:pStyle w:val="BodyText"/>
            </w:pPr>
            <w:r>
              <w:t xml:space="preserve">privacy@qastio.app</w:t>
            </w:r>
          </w:p>
        </w:tc>
      </w:tr>
      <w:tr>
        <w:tc>
          <w:tcPr/>
          <w:p>
            <w:pPr>
              <w:pStyle w:val="BodyText"/>
            </w:pPr>
            <w:r>
              <w:t xml:space="preserve">Veb-sajt / domen platforme</w:t>
            </w:r>
          </w:p>
        </w:tc>
        <w:tc>
          <w:tcPr/>
          <w:p>
            <w:pPr>
              <w:pStyle w:val="BodyText"/>
            </w:pPr>
            <w:r>
              <w:t xml:space="preserve">https://qastio.app/</w:t>
            </w:r>
          </w:p>
        </w:tc>
      </w:tr>
      <w:tr>
        <w:tc>
          <w:tcPr/>
          <w:p>
            <w:pPr>
              <w:pStyle w:val="BodyText"/>
            </w:pPr>
            <w:r>
              <w:t xml:space="preserve">Zakonski zastupnik</w:t>
            </w:r>
          </w:p>
        </w:tc>
        <w:tc>
          <w:tcPr/>
          <w:p>
            <w:pPr>
              <w:pStyle w:val="BodyText"/>
            </w:pPr>
            <w:r>
              <w:t xml:space="preserve">Nikola Elez, Director</w:t>
            </w:r>
          </w:p>
        </w:tc>
      </w:tr>
    </w:tbl>
    <w:p>
      <w:pPr>
        <w:pStyle w:val="BodyText"/>
      </w:pPr>
      <w:r>
        <w:rPr>
          <w:b/>
          <w:bCs/>
        </w:rPr>
        <w:t xml:space="preserve">Završna napomena</w:t>
      </w:r>
    </w:p>
    <w:p>
      <w:pPr>
        <w:pStyle w:val="BodyText"/>
      </w:pPr>
      <w:r>
        <w:t xml:space="preserve">Ovaj dokument čini deo pravne dokumentacije platforme Qastio koju objavljuje Operator. Dokument ne ograničava nijedno obavezno pravo koje korisnicima pripada prema merodavnom pravu. Ako je određeni onboarding, plaćanje, nabavka, POS/API integracija ili odnos sa dobavljačem uređen dodatno prihvaćenim dokumentom, taj dokument se primenjuje zajedno sa ovim dokumentom i ima prednost u svom posebnom obimu.</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2026-09-13T22:17:06Z</dcterms:created>
  <dcterms:modified xsi:type="dcterms:W3CDTF">2026-09-13T22:17:06Z</dcterms:modified>
</cp:coreProperties>
</file>

<file path=docProps/custom.xml><?xml version="1.0" encoding="utf-8"?>
<Properties xmlns="http://schemas.openxmlformats.org/officeDocument/2006/custom-properties" xmlns:vt="http://schemas.openxmlformats.org/officeDocument/2006/docPropsVTypes"/>
</file>