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spisak-obrađivača-i-primalaca-podataka"/>
    <w:p>
      <w:pPr>
        <w:pStyle w:val="Heading1"/>
      </w:pPr>
      <w:r>
        <w:t xml:space="preserve">Spisak obrađivača i primalaca podataka</w:t>
      </w:r>
    </w:p>
    <w:p>
      <w:pPr>
        <w:pStyle w:val="FirstParagraph"/>
      </w:pPr>
      <w:r>
        <w:rPr>
          <w:b/>
          <w:bCs/>
        </w:rPr>
        <w:t xml:space="preserve">FOODIT SOLUTIONS DOO BEOGRAD (VOŽDOVAC) — Qastio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Verzija</w:t>
            </w:r>
          </w:p>
        </w:tc>
        <w:tc>
          <w:tcPr/>
          <w:p>
            <w:pPr>
              <w:pStyle w:val="Compact"/>
            </w:pPr>
            <w:r>
              <w:t xml:space="preserve">v1.0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Datum stupanja na snagu</w:t>
            </w:r>
          </w:p>
        </w:tc>
        <w:tc>
          <w:tcPr/>
          <w:p>
            <w:pPr>
              <w:pStyle w:val="Compact"/>
            </w:pPr>
            <w:r>
              <w:t xml:space="preserve">2026-08-31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Na snazi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Merodavan jezik</w:t>
            </w:r>
          </w:p>
        </w:tc>
        <w:tc>
          <w:tcPr/>
          <w:p>
            <w:pPr>
              <w:pStyle w:val="Compact"/>
            </w:pPr>
            <w:r>
              <w:t xml:space="preserve">Srpski</w:t>
            </w:r>
          </w:p>
        </w:tc>
      </w:tr>
    </w:tbl>
    <w:bookmarkStart w:id="9" w:name="zašto-postoji-ova-stranica"/>
    <w:p>
      <w:pPr>
        <w:pStyle w:val="Heading2"/>
      </w:pPr>
      <w:r>
        <w:t xml:space="preserve">Zašto postoji ova stranica</w:t>
      </w:r>
    </w:p>
    <w:p>
      <w:pPr>
        <w:pStyle w:val="FirstParagraph"/>
      </w:pPr>
      <w:r>
        <w:t xml:space="preserve">Da bismo pružili uslugu, deo obrade poveravamo drugim privrednim društvima — na primer hosting, isporuku poruka ili merenje korišćenja Platforme. Član 23. Zakona o zaštiti podataka o ličnosti daje vam pravo da znate ko su primaoci vaših podataka.</w:t>
      </w:r>
    </w:p>
    <w:p>
      <w:pPr>
        <w:pStyle w:val="BodyText"/>
      </w:pPr>
      <w:r>
        <w:t xml:space="preserve">U spisak unosimo isključivo pružaoce koji</w:t>
      </w:r>
      <w:r>
        <w:t xml:space="preserve"> </w:t>
      </w:r>
      <w:r>
        <w:rPr>
          <w:b/>
          <w:bCs/>
        </w:rPr>
        <w:t xml:space="preserve">trenutno</w:t>
      </w:r>
      <w:r>
        <w:t xml:space="preserve"> </w:t>
      </w:r>
      <w:r>
        <w:t xml:space="preserve">obrađuju podatke. Pružaoca koji učestvuje u usluzi koja još nije puštena u rad unosimo na dan kada ta usluga postane dostupna korisnicima, a najkasnije pre prve obrade.</w:t>
      </w:r>
    </w:p>
    <w:p>
      <w:r>
        <w:pict>
          <v:rect style="width:0;height:1.5pt" o:hralign="center" o:hrstd="t" o:hr="t"/>
        </w:pict>
      </w:r>
    </w:p>
    <w:bookmarkEnd w:id="9"/>
    <w:bookmarkStart w:id="10" w:name="kako-da-čitate-ovu-stranicu"/>
    <w:p>
      <w:pPr>
        <w:pStyle w:val="Heading2"/>
      </w:pPr>
      <w:r>
        <w:t xml:space="preserve">Kako da čitate ovu stranicu</w:t>
      </w:r>
    </w:p>
    <w:p>
      <w:pPr>
        <w:pStyle w:val="FirstParagraph"/>
      </w:pPr>
      <w:r>
        <w:rPr>
          <w:b/>
          <w:bCs/>
        </w:rPr>
        <w:t xml:space="preserve">Obrađivač</w:t>
      </w:r>
      <w:r>
        <w:t xml:space="preserve"> </w:t>
      </w:r>
      <w:r>
        <w:t xml:space="preserve">obrađuje podatke isključivo po našem dokumentovanom nalogu i ne sme ih koristiti u sopstvene svrhe. Sa svakim obrađivačem imamo zaključen ugovor o obradi u skladu sa članom 45. Zakona.</w:t>
      </w:r>
    </w:p>
    <w:p>
      <w:pPr>
        <w:pStyle w:val="BodyText"/>
      </w:pPr>
      <w:r>
        <w:rPr>
          <w:b/>
          <w:bCs/>
        </w:rPr>
        <w:t xml:space="preserve">Samostalan rukovalac</w:t>
      </w:r>
      <w:r>
        <w:t xml:space="preserve"> </w:t>
      </w:r>
      <w:r>
        <w:t xml:space="preserve">sam određuje svrhu i način obrade i ima sopstvene zakonske obaveze. Za tu obradu primenjuje se njegova politika privatnosti, a ne naša.</w:t>
      </w:r>
    </w:p>
    <w:p>
      <w:pPr>
        <w:pStyle w:val="BodyText"/>
      </w:pPr>
      <w:r>
        <w:rPr>
          <w:b/>
          <w:bCs/>
        </w:rPr>
        <w:t xml:space="preserve">Osnov prenosa</w:t>
      </w:r>
      <w:r>
        <w:t xml:space="preserve"> </w:t>
      </w:r>
      <w:r>
        <w:t xml:space="preserve">navodimo samo kada se obrada odvija izvan Republike Srbije:</w:t>
      </w:r>
    </w:p>
    <w:p>
      <w:pPr>
        <w:pStyle w:val="Compact"/>
        <w:numPr>
          <w:ilvl w:val="0"/>
          <w:numId w:val="1001"/>
        </w:numPr>
      </w:pPr>
      <w:r>
        <w:rPr>
          <w:i/>
          <w:iCs/>
        </w:rPr>
        <w:t xml:space="preserve">Konvencija 108</w:t>
      </w:r>
      <w:r>
        <w:t xml:space="preserve"> </w:t>
      </w:r>
      <w:r>
        <w:t xml:space="preserve">— država se nalazi na Listi Vlade Republike Srbije („Sl. glasnik RS”, br. 55/2019) kao država koja obezbeđuje primeren nivo zaštite. Prenos je dozvoljen bez posebnog odobrenja.</w:t>
      </w:r>
    </w:p>
    <w:p>
      <w:pPr>
        <w:pStyle w:val="Compact"/>
        <w:numPr>
          <w:ilvl w:val="0"/>
          <w:numId w:val="1001"/>
        </w:numPr>
      </w:pPr>
      <w:r>
        <w:rPr>
          <w:i/>
          <w:iCs/>
        </w:rPr>
        <w:t xml:space="preserve">Standardne ugovorne klauzule</w:t>
      </w:r>
      <w:r>
        <w:t xml:space="preserve"> </w:t>
      </w:r>
      <w:r>
        <w:t xml:space="preserve">— primenjuju se odgovarajuće mere zaštite u skladu sa članom 65. Zakona.</w:t>
      </w:r>
    </w:p>
    <w:p>
      <w:r>
        <w:pict>
          <v:rect style="width:0;height:1.5pt" o:hralign="center" o:hrstd="t" o:hr="t"/>
        </w:pict>
      </w:r>
    </w:p>
    <w:bookmarkEnd w:id="10"/>
    <w:bookmarkStart w:id="11" w:name="obrađivači"/>
    <w:p>
      <w:pPr>
        <w:pStyle w:val="Heading2"/>
      </w:pPr>
      <w:r>
        <w:t xml:space="preserve">1. Obrađivači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Pružalac</w:t>
            </w:r>
          </w:p>
        </w:tc>
        <w:tc>
          <w:tcPr/>
          <w:p>
            <w:pPr>
              <w:pStyle w:val="Compact"/>
            </w:pPr>
            <w:r>
              <w:t xml:space="preserve">Usluga</w:t>
            </w:r>
          </w:p>
        </w:tc>
        <w:tc>
          <w:tcPr/>
          <w:p>
            <w:pPr>
              <w:pStyle w:val="Compact"/>
            </w:pPr>
            <w:r>
              <w:t xml:space="preserve">Kategorije podataka</w:t>
            </w:r>
          </w:p>
        </w:tc>
        <w:tc>
          <w:tcPr/>
          <w:p>
            <w:pPr>
              <w:pStyle w:val="Compact"/>
            </w:pPr>
            <w:r>
              <w:t xml:space="preserve">Država obrade</w:t>
            </w:r>
          </w:p>
        </w:tc>
        <w:tc>
          <w:tcPr/>
          <w:p>
            <w:pPr>
              <w:pStyle w:val="Compact"/>
            </w:pPr>
            <w:r>
              <w:t xml:space="preserve">Osnov prenosa</w:t>
            </w:r>
          </w:p>
        </w:tc>
        <w:tc>
          <w:tcPr/>
          <w:p>
            <w:pPr>
              <w:pStyle w:val="Compact"/>
            </w:pPr>
            <w:r>
              <w:t xml:space="preserve">Više informacija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Amazon Web Services EMEA SARL</w:t>
            </w:r>
          </w:p>
        </w:tc>
        <w:tc>
          <w:tcPr/>
          <w:p>
            <w:pPr>
              <w:pStyle w:val="Compact"/>
            </w:pPr>
            <w:r>
              <w:t xml:space="preserve">Hosting aplikacije, baze podataka i skladištenje datoteka</w:t>
            </w:r>
          </w:p>
        </w:tc>
        <w:tc>
          <w:tcPr/>
          <w:p>
            <w:pPr>
              <w:pStyle w:val="Compact"/>
            </w:pPr>
            <w:r>
              <w:t xml:space="preserve">Svi podaci koje obrađujemo u okviru Platforme</w:t>
            </w:r>
          </w:p>
        </w:tc>
        <w:tc>
          <w:tcPr/>
          <w:p>
            <w:pPr>
              <w:pStyle w:val="Compact"/>
            </w:pPr>
            <w:r>
              <w:t xml:space="preserve">Luksemburg (ugovorna strana), obrada u regionu Frankfurt, Savezna Republika Nemačka</w:t>
            </w:r>
          </w:p>
        </w:tc>
        <w:tc>
          <w:tcPr/>
          <w:p>
            <w:pPr>
              <w:pStyle w:val="Compact"/>
            </w:pPr>
            <w:r>
              <w:t xml:space="preserve">Konvencija 108 — obe države se nalaze na Listi Vlade RS. Prenos je dozvoljen bez posebnog odobrenja</w:t>
            </w:r>
          </w:p>
        </w:tc>
        <w:tc>
          <w:tcPr/>
          <w:p>
            <w:pPr>
              <w:pStyle w:val="Compact"/>
            </w:pPr>
            <w:r>
              <w:t xml:space="preserve">aws.amazon.com/privacy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Cloudflare, Inc.</w:t>
            </w:r>
          </w:p>
        </w:tc>
        <w:tc>
          <w:tcPr/>
          <w:p>
            <w:pPr>
              <w:pStyle w:val="Compact"/>
            </w:pPr>
            <w:r>
              <w:t xml:space="preserve">Mreža za isporuku sadržaja, zaštita od zloupotreba, DNS, zaštita objavljenih adresa e-pošte</w:t>
            </w:r>
          </w:p>
        </w:tc>
        <w:tc>
          <w:tcPr/>
          <w:p>
            <w:pPr>
              <w:pStyle w:val="Compact"/>
            </w:pPr>
            <w:r>
              <w:t xml:space="preserve">IP adresa, podaci o pregledaču i uređaju, tehnički zapisi o zahtevima</w:t>
            </w:r>
          </w:p>
        </w:tc>
        <w:tc>
          <w:tcPr/>
          <w:p>
            <w:pPr>
              <w:pStyle w:val="Compact"/>
            </w:pPr>
            <w:r>
              <w:t xml:space="preserve">Sjedinjene Američke Države, globalna mreža</w:t>
            </w:r>
          </w:p>
        </w:tc>
        <w:tc>
          <w:tcPr/>
          <w:p>
            <w:pPr>
              <w:pStyle w:val="Compact"/>
            </w:pPr>
            <w:r>
              <w:t xml:space="preserve">Standardne ugovorne klauzule</w:t>
            </w:r>
          </w:p>
        </w:tc>
        <w:tc>
          <w:tcPr/>
          <w:p>
            <w:pPr>
              <w:pStyle w:val="Compact"/>
            </w:pPr>
            <w:r>
              <w:t xml:space="preserve">cloudflare.com/privacypolicy</w:t>
            </w:r>
          </w:p>
        </w:tc>
      </w:tr>
      <w:tr>
        <w:tc>
          <w:tcPr/>
          <w:p>
            <w:pPr>
              <w:pStyle w:val="Compact"/>
            </w:pPr>
            <w:r>
              <w:t xml:space="preserve">Sky Connect FZC LLC</w:t>
            </w:r>
          </w:p>
        </w:tc>
        <w:tc>
          <w:tcPr/>
          <w:p>
            <w:pPr>
              <w:pStyle w:val="Compact"/>
            </w:pPr>
            <w:r>
              <w:t xml:space="preserve">Slanje SMS poruka — jednokratni kodovi za prijavu i obaveštenja o rezervaciji</w:t>
            </w:r>
          </w:p>
        </w:tc>
        <w:tc>
          <w:tcPr/>
          <w:p>
            <w:pPr>
              <w:pStyle w:val="Compact"/>
            </w:pPr>
            <w:r>
              <w:t xml:space="preserve">Broj telefona, tekst poruke, status isporuke, tehnički identifikator poruke</w:t>
            </w:r>
          </w:p>
        </w:tc>
        <w:tc>
          <w:tcPr/>
          <w:p>
            <w:pPr>
              <w:pStyle w:val="Compact"/>
            </w:pPr>
            <w:r>
              <w:t xml:space="preserve">Ujedinjeni Arapski Emirati</w:t>
            </w:r>
          </w:p>
        </w:tc>
        <w:tc>
          <w:tcPr/>
          <w:p>
            <w:pPr>
              <w:pStyle w:val="Compact"/>
            </w:pPr>
            <w:r>
              <w:t xml:space="preserve">Standardne ugovorne klauzule</w:t>
            </w:r>
          </w:p>
        </w:tc>
        <w:tc>
          <w:tcPr/>
          <w:p>
            <w:pPr>
              <w:pStyle w:val="Compact"/>
            </w:pPr>
            <w:r>
              <w:t xml:space="preserve">skycon.tech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Google Ireland Limited</w:t>
            </w:r>
          </w:p>
        </w:tc>
        <w:tc>
          <w:tcPr/>
          <w:p>
            <w:pPr>
              <w:pStyle w:val="Compact"/>
            </w:pPr>
            <w:r>
              <w:t xml:space="preserve">Merenje korišćenja Platforme (Google Analytics)</w:t>
            </w:r>
          </w:p>
        </w:tc>
        <w:tc>
          <w:tcPr/>
          <w:p>
            <w:pPr>
              <w:pStyle w:val="Compact"/>
            </w:pPr>
            <w:r>
              <w:t xml:space="preserve">Identifikator dodeljen kolačićem, podaci o uređaju i pregledaču, približna lokacija izvedena iz IP adrese, događaji korišćenja.</w:t>
            </w:r>
            <w:r>
              <w:t xml:space="preserve"> </w:t>
            </w:r>
            <w:r>
              <w:rPr>
                <w:b/>
                <w:bCs/>
              </w:rPr>
              <w:t xml:space="preserve">Samo uz vaš pristanak za kategoriju „Analitika”</w:t>
            </w:r>
          </w:p>
        </w:tc>
        <w:tc>
          <w:tcPr/>
          <w:p>
            <w:pPr>
              <w:pStyle w:val="Compact"/>
            </w:pPr>
            <w:r>
              <w:t xml:space="preserve">Irska, uz dalju obradu u Sjedinjenim Američkim Državama</w:t>
            </w:r>
          </w:p>
        </w:tc>
        <w:tc>
          <w:tcPr/>
          <w:p>
            <w:pPr>
              <w:pStyle w:val="Compact"/>
            </w:pPr>
            <w:r>
              <w:t xml:space="preserve">Konvencija 108 za irski subjekt; za dalji prenos u SAD primenjuju se standardne ugovorne klauzule pružaoca</w:t>
            </w:r>
          </w:p>
        </w:tc>
        <w:tc>
          <w:tcPr/>
          <w:p>
            <w:pPr>
              <w:pStyle w:val="Compact"/>
            </w:pPr>
            <w:r>
              <w:t xml:space="preserve">business.safety.google/privacy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Google Ireland Limited</w:t>
            </w:r>
          </w:p>
        </w:tc>
        <w:tc>
          <w:tcPr/>
          <w:p>
            <w:pPr>
              <w:pStyle w:val="Compact"/>
            </w:pPr>
            <w:r>
              <w:t xml:space="preserve">Distribucija Android aplikacije i isporuka obaveštenja (Firebase Cloud Messaging)</w:t>
            </w:r>
          </w:p>
        </w:tc>
        <w:tc>
          <w:tcPr/>
          <w:p>
            <w:pPr>
              <w:pStyle w:val="Compact"/>
            </w:pPr>
            <w:r>
              <w:t xml:space="preserve">Tehnički identifikator uređaja, sadržaj obaveštenja</w:t>
            </w:r>
          </w:p>
        </w:tc>
        <w:tc>
          <w:tcPr/>
          <w:p>
            <w:pPr>
              <w:pStyle w:val="Compact"/>
            </w:pPr>
            <w:r>
              <w:t xml:space="preserve">Irska, uz dalju obradu u Sjedinjenim Američkim Državama</w:t>
            </w:r>
          </w:p>
        </w:tc>
        <w:tc>
          <w:tcPr/>
          <w:p>
            <w:pPr>
              <w:pStyle w:val="Compact"/>
            </w:pPr>
            <w:r>
              <w:t xml:space="preserve">Konvencija 108 za irski subjekt; za dalji prenos u SAD primenjuju se standardne ugovorne klauzule pružaoca</w:t>
            </w:r>
          </w:p>
        </w:tc>
        <w:tc>
          <w:tcPr/>
          <w:p>
            <w:pPr>
              <w:pStyle w:val="Compact"/>
            </w:pPr>
            <w:r>
              <w:t xml:space="preserve">policies.google.com/privacy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Apple Distribution International Ltd.</w:t>
            </w:r>
          </w:p>
        </w:tc>
        <w:tc>
          <w:tcPr/>
          <w:p>
            <w:pPr>
              <w:pStyle w:val="Compact"/>
            </w:pPr>
            <w:r>
              <w:t xml:space="preserve">Distribucija iOS aplikacije i isporuka obaveštenja (Apple Push Notification service)</w:t>
            </w:r>
          </w:p>
        </w:tc>
        <w:tc>
          <w:tcPr/>
          <w:p>
            <w:pPr>
              <w:pStyle w:val="Compact"/>
            </w:pPr>
            <w:r>
              <w:t xml:space="preserve">Tehnički identifikator uređaja, sadržaj obaveštenja</w:t>
            </w:r>
          </w:p>
        </w:tc>
        <w:tc>
          <w:tcPr/>
          <w:p>
            <w:pPr>
              <w:pStyle w:val="Compact"/>
            </w:pPr>
            <w:r>
              <w:t xml:space="preserve">Irska, uz dalju obradu u Sjedinjenim Američkim Državama</w:t>
            </w:r>
          </w:p>
        </w:tc>
        <w:tc>
          <w:tcPr/>
          <w:p>
            <w:pPr>
              <w:pStyle w:val="Compact"/>
            </w:pPr>
            <w:r>
              <w:t xml:space="preserve">Konvencija 108 za irski subjekt; za dalji prenos u SAD primenjuju se standardne ugovorne klauzule pružaoca</w:t>
            </w:r>
          </w:p>
        </w:tc>
        <w:tc>
          <w:tcPr/>
          <w:p>
            <w:pPr>
              <w:pStyle w:val="Compact"/>
            </w:pPr>
            <w:r>
              <w:t xml:space="preserve">apple.com/legal/privacy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1"/>
    <w:bookmarkStart w:id="13" w:name="samostalni-rukovaoci"/>
    <w:p>
      <w:pPr>
        <w:pStyle w:val="Heading2"/>
      </w:pPr>
      <w:r>
        <w:t xml:space="preserve">2. Samostalni rukovaoci</w:t>
      </w:r>
    </w:p>
    <w:p>
      <w:pPr>
        <w:pStyle w:val="FirstParagraph"/>
      </w:pPr>
      <w:r>
        <w:t xml:space="preserve">Sledeći primaoci ne postupaju po našem nalogu, već samostalno određuju svrhu i način obrade. Za njihovu obradu primenjuje se njihova politika privatnosti.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Primalac</w:t>
            </w:r>
          </w:p>
        </w:tc>
        <w:tc>
          <w:tcPr/>
          <w:p>
            <w:pPr>
              <w:pStyle w:val="Compact"/>
            </w:pPr>
            <w:r>
              <w:t xml:space="preserve">U kojoj situaciji</w:t>
            </w:r>
          </w:p>
        </w:tc>
        <w:tc>
          <w:tcPr/>
          <w:p>
            <w:pPr>
              <w:pStyle w:val="Compact"/>
            </w:pPr>
            <w:r>
              <w:t xml:space="preserve">Kategorije podataka</w:t>
            </w:r>
          </w:p>
        </w:tc>
        <w:tc>
          <w:tcPr/>
          <w:p>
            <w:pPr>
              <w:pStyle w:val="Compact"/>
            </w:pPr>
            <w:r>
              <w:t xml:space="preserve">Napomena</w:t>
            </w:r>
          </w:p>
        </w:tc>
      </w:tr>
      <w:tr>
        <w:tc>
          <w:tcPr/>
          <w:p>
            <w:pPr>
              <w:pStyle w:val="Compact"/>
            </w:pPr>
            <w:r>
              <w:t xml:space="preserve">Ugostiteljski objekat kod kojeg poručujete ili rezervišete</w:t>
            </w:r>
          </w:p>
        </w:tc>
        <w:tc>
          <w:tcPr/>
          <w:p>
            <w:pPr>
              <w:pStyle w:val="Compact"/>
            </w:pPr>
            <w:r>
              <w:t xml:space="preserve">Kada pošaljete narudžbinu ili zahtev za rezervaciju</w:t>
            </w:r>
          </w:p>
        </w:tc>
        <w:tc>
          <w:tcPr/>
          <w:p>
            <w:pPr>
              <w:pStyle w:val="Compact"/>
            </w:pPr>
            <w:r>
              <w:t xml:space="preserve">Ime ili nadimak, kontakt, sadržaj narudžbine, napomene uz narudžbinu</w:t>
            </w:r>
          </w:p>
        </w:tc>
        <w:tc>
          <w:tcPr/>
          <w:p>
            <w:pPr>
              <w:pStyle w:val="Compact"/>
            </w:pPr>
            <w:r>
              <w:t xml:space="preserve">Objekat je prodavac. Spisak objekata dostupan je na stranici</w:t>
            </w:r>
            <w:r>
              <w:t xml:space="preserve"> </w:t>
            </w:r>
            <w:hyperlink r:id="rId12">
              <w:r>
                <w:rPr>
                  <w:rStyle w:val="Hyperlink"/>
                </w:rPr>
                <w:t xml:space="preserve">Restorani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Nadležni državni organi</w:t>
            </w:r>
          </w:p>
        </w:tc>
        <w:tc>
          <w:tcPr/>
          <w:p>
            <w:pPr>
              <w:pStyle w:val="Compact"/>
            </w:pPr>
            <w:r>
              <w:t xml:space="preserve">Kada je dostavljanje zakonska obaveza</w:t>
            </w:r>
          </w:p>
        </w:tc>
        <w:tc>
          <w:tcPr/>
          <w:p>
            <w:pPr>
              <w:pStyle w:val="Compact"/>
            </w:pPr>
            <w:r>
              <w:t xml:space="preserve">Zavisi od zahteva</w:t>
            </w:r>
          </w:p>
        </w:tc>
        <w:tc>
          <w:tcPr/>
          <w:p>
            <w:pPr>
              <w:pStyle w:val="Compact"/>
            </w:pPr>
            <w:r>
              <w:t xml:space="preserve">Dostavljamo samo na osnovu zakonom propisanog akta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3"/>
    <w:bookmarkStart w:id="14" w:name="podobrađivači"/>
    <w:p>
      <w:pPr>
        <w:pStyle w:val="Heading2"/>
      </w:pPr>
      <w:r>
        <w:t xml:space="preserve">3. Podobrađivači</w:t>
      </w:r>
    </w:p>
    <w:p>
      <w:pPr>
        <w:pStyle w:val="FirstParagraph"/>
      </w:pPr>
      <w:r>
        <w:t xml:space="preserve">Pojedini obrađivači koriste sopstvene pružaoce usluga. Isporuka SMS poruka do mreža mobilnih operatora u Republici Srbiji odvija se preko posredničkih operatora koje angažuje pružalac usluge slanja poruka.</w:t>
      </w:r>
    </w:p>
    <w:p>
      <w:pPr>
        <w:pStyle w:val="BodyText"/>
      </w:pPr>
      <w:r>
        <w:t xml:space="preserve">Ažurne spiskove sopstvenih pružalaca objavljuju sami obrađivači, na stranicama navedenim u koloni „Više informacija”.</w:t>
      </w:r>
    </w:p>
    <w:p>
      <w:pPr>
        <w:pStyle w:val="BodyText"/>
      </w:pPr>
      <w:r>
        <w:t xml:space="preserve">Ako želite informaciju o konkretnom podobrađivaču koji učestvuje u obradi vaših podataka, obratite se na privacy@qastio.app.</w:t>
      </w:r>
    </w:p>
    <w:p>
      <w:r>
        <w:pict>
          <v:rect style="width:0;height:1.5pt" o:hralign="center" o:hrstd="t" o:hr="t"/>
        </w:pict>
      </w:r>
    </w:p>
    <w:bookmarkEnd w:id="14"/>
    <w:bookmarkStart w:id="15" w:name="izmene-ovog-spiska"/>
    <w:p>
      <w:pPr>
        <w:pStyle w:val="Heading2"/>
      </w:pPr>
      <w:r>
        <w:t xml:space="preserve">4. Izmene ovog spiska</w:t>
      </w:r>
    </w:p>
    <w:p>
      <w:pPr>
        <w:pStyle w:val="FirstParagraph"/>
      </w:pPr>
      <w:r>
        <w:t xml:space="preserve">Novog obrađivača unosimo u spisak pre nego što počne obrada. Ako izmena bitno utiče na obradu vaših podataka, o njoj vas obaveštavamo i putem Platforme ili elektronske pošte.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Verzija</w:t>
            </w:r>
          </w:p>
        </w:tc>
        <w:tc>
          <w:tcPr/>
          <w:p>
            <w:pPr>
              <w:pStyle w:val="Compact"/>
            </w:pPr>
            <w:r>
              <w:t xml:space="preserve">Datum</w:t>
            </w:r>
          </w:p>
        </w:tc>
        <w:tc>
          <w:tcPr/>
          <w:p>
            <w:pPr>
              <w:pStyle w:val="Compact"/>
            </w:pPr>
            <w:r>
              <w:t xml:space="preserve">Izmena</w:t>
            </w:r>
          </w:p>
        </w:tc>
      </w:tr>
      <w:tr>
        <w:tc>
          <w:tcPr/>
          <w:p>
            <w:pPr>
              <w:pStyle w:val="Compact"/>
            </w:pPr>
            <w:r>
              <w:t xml:space="preserve">v1.0</w:t>
            </w:r>
          </w:p>
        </w:tc>
        <w:tc>
          <w:tcPr/>
          <w:p>
            <w:pPr>
              <w:pStyle w:val="Compact"/>
            </w:pPr>
            <w:r>
              <w:t xml:space="preserve">__________</w:t>
            </w:r>
          </w:p>
        </w:tc>
        <w:tc>
          <w:tcPr/>
          <w:p>
            <w:pPr>
              <w:pStyle w:val="Compact"/>
            </w:pPr>
            <w:r>
              <w:t xml:space="preserve">Prva objava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5"/>
    <w:bookmarkStart w:id="16" w:name="prigovor-i-dodatne-informacije"/>
    <w:p>
      <w:pPr>
        <w:pStyle w:val="Heading2"/>
      </w:pPr>
      <w:r>
        <w:t xml:space="preserve">5. Prigovor i dodatne informacije</w:t>
      </w:r>
    </w:p>
    <w:p>
      <w:pPr>
        <w:pStyle w:val="FirstParagraph"/>
      </w:pPr>
      <w:r>
        <w:t xml:space="preserve">Kopiju primenjenih mera zaštite pri prenosu podataka, kao i dodatne informacije o bilo kom pružaocu sa ovog spiska, možete zatražiti na privacy@qastio.app.</w:t>
      </w:r>
    </w:p>
    <w:p>
      <w:pPr>
        <w:pStyle w:val="BodyText"/>
      </w:pPr>
      <w:r>
        <w:t xml:space="preserve">Ako smatrate da se obrada ili prenos vaših podataka vrši suprotno Zakonu, imate pravo na prigovor prema članu 37. Zakona, kao i pravo na pritužbu Povereniku za informacije od javnog značaja i zaštitu podataka o ličnosti, Bulevar kralja Aleksandra 15, 11120 Beograd, www.poverenik.rs.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FOODIT SOLUTIONS DOO BEOGRAD (VOŽDOVAC)</w:t>
      </w:r>
      <w:r>
        <w:t xml:space="preserve"> </w:t>
      </w:r>
      <w:r>
        <w:t xml:space="preserve">Matični broj 22319183 · PIB 115827499</w:t>
      </w:r>
      <w:r>
        <w:t xml:space="preserve"> </w:t>
      </w:r>
      <w:r>
        <w:t xml:space="preserve">Todora Dukina 44, Beograd (Voždovac), Republika Srbija</w:t>
      </w:r>
      <w:r>
        <w:t xml:space="preserve"> </w:t>
      </w:r>
      <w:r>
        <w:t xml:space="preserve">privacy@qastio.app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qastio.app/restoran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qastio.app/restoran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2026-08-31T06:44:30Z</dcterms:created>
  <dcterms:modified xsi:type="dcterms:W3CDTF">2026-08-31T06:44:30Z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