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Payment Module Terms</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Voluntary Status</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Qastio payment module is an optional function that allows Guests to pay for eligible Restaurant orders through the Platform when the relevant Restaurant voluntarily enables online payment. The payment module is not part of the mandatory free digital layer. A Restaurant may enable or disable the module at its own discretion, subject to PSP onboarding, technical availability, risk controls and these Terms.</w:t>
      </w:r>
      <w:r w:rsidDel="00000000" w:rsidR="00000000" w:rsidRPr="00000000">
        <w:rPr>
          <w:rtl w:val="0"/>
        </w:rPr>
      </w:r>
    </w:p>
    <w:p w:rsidR="00000000" w:rsidDel="00000000" w:rsidP="00000000" w:rsidRDefault="00000000" w:rsidRPr="00000000" w14:paraId="0000001F">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Disabling the payment module applies only to future orders. It does not cancel already placed orders, payments, refunds, chargebacks, fees, tax obligations, settlement obligations, evidence records or disputes.</w:t>
      </w:r>
      <w:r w:rsidDel="00000000" w:rsidR="00000000" w:rsidRPr="00000000">
        <w:rPr>
          <w:rtl w:val="0"/>
        </w:rPr>
      </w:r>
    </w:p>
    <w:p w:rsidR="00000000" w:rsidDel="00000000" w:rsidP="00000000" w:rsidRDefault="00000000" w:rsidRPr="00000000" w14:paraId="00000020">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Roles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Restaurant remains the seller of food, beverages and restaurant services to the Guest.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PSP, bank, acquirer or other authorised provider processes the payment under its own terms, licences and technical rules.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Operator provides the payment interface, PSP integration support, status routing, technical order confirmation, dashboard records and related platform services.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Operator is not a bank, payment institution, electronic money issuer, acquirer, card issuer, creditor, factoring company or holder of client funds.</w:t>
      </w:r>
    </w:p>
    <w:p w:rsidR="00000000" w:rsidDel="00000000" w:rsidP="00000000" w:rsidRDefault="00000000" w:rsidRPr="00000000" w14:paraId="00000025">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Activation and Deactivation</w:t>
      </w:r>
      <w:r w:rsidDel="00000000" w:rsidR="00000000" w:rsidRPr="00000000">
        <w:rPr>
          <w:rtl w:val="0"/>
        </w:rPr>
      </w:r>
    </w:p>
    <w:p w:rsidR="00000000" w:rsidDel="00000000" w:rsidP="00000000" w:rsidRDefault="00000000" w:rsidRPr="00000000" w14:paraId="0000002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Activation may require Restaurant verification, bank account details, PSP onboarding, KYC/KYB, beneficial ownership checks, authority checks, tax information, technical setup, fraud screening and acceptance of these Terms. The Operator or PSP may refuse, suspend or limit activation for compliance, risk, technical, fraud, chargeback, legal, reputational or operational reasons.</w:t>
      </w:r>
      <w:r w:rsidDel="00000000" w:rsidR="00000000" w:rsidRPr="00000000">
        <w:rPr>
          <w:rtl w:val="0"/>
        </w:rPr>
      </w:r>
    </w:p>
    <w:p w:rsidR="00000000" w:rsidDel="00000000" w:rsidP="00000000" w:rsidRDefault="00000000" w:rsidRPr="00000000" w14:paraId="00000027">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Qastio Platform Service Fee</w:t>
      </w:r>
      <w:r w:rsidDel="00000000" w:rsidR="00000000" w:rsidRPr="00000000">
        <w:rPr>
          <w:rtl w:val="0"/>
        </w:rPr>
      </w:r>
    </w:p>
    <w:p w:rsidR="00000000" w:rsidDel="00000000" w:rsidP="00000000" w:rsidRDefault="00000000" w:rsidRPr="00000000" w14:paraId="0000002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For each successful Guest payment processed through the voluntary payment module, the Operator may charge the Restaurant a platform service fee equal to 1% of the gross paid order amount, unless another rate is expressly agreed in writing or shown in the dashboard before activation.</w:t>
      </w:r>
      <w:r w:rsidDel="00000000" w:rsidR="00000000" w:rsidRPr="00000000">
        <w:rPr>
          <w:rtl w:val="0"/>
        </w:rPr>
      </w:r>
    </w:p>
    <w:p w:rsidR="00000000" w:rsidDel="00000000" w:rsidP="00000000" w:rsidRDefault="00000000" w:rsidRPr="00000000" w14:paraId="0000002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1% fee is charged for providing the Platform payment module, technical payment interface, PSP integration support, payment-status routing, order confirmation infrastructure, dashboard reporting, support and related platform services. It is not charged as a regulated payment service fee unless mandatory law classifies it otherwise.</w:t>
      </w:r>
      <w:r w:rsidDel="00000000" w:rsidR="00000000" w:rsidRPr="00000000">
        <w:rPr>
          <w:rtl w:val="0"/>
        </w:rPr>
      </w:r>
    </w:p>
    <w:p w:rsidR="00000000" w:rsidDel="00000000" w:rsidP="00000000" w:rsidRDefault="00000000" w:rsidRPr="00000000" w14:paraId="0000002A">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fee may be collected by PSP split settlement, deduction from Restaurant settlement, separate invoice, account debit or another lawful settlement method supported by the PSP and accepted by the Restaurant. PSP fees, bank fees, card-scheme fees, currency costs, chargeback fees, taxes and external deductions are separate unless expressly stated otherwise.</w:t>
      </w:r>
      <w:r w:rsidDel="00000000" w:rsidR="00000000" w:rsidRPr="00000000">
        <w:rPr>
          <w:rtl w:val="0"/>
        </w:rPr>
      </w:r>
    </w:p>
    <w:p w:rsidR="00000000" w:rsidDel="00000000" w:rsidP="00000000" w:rsidRDefault="00000000" w:rsidRPr="00000000" w14:paraId="0000002B">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Settlement</w:t>
      </w:r>
      <w:r w:rsidDel="00000000" w:rsidR="00000000" w:rsidRPr="00000000">
        <w:rPr>
          <w:rtl w:val="0"/>
        </w:rPr>
      </w:r>
    </w:p>
    <w:p w:rsidR="00000000" w:rsidDel="00000000" w:rsidP="00000000" w:rsidRDefault="00000000" w:rsidRPr="00000000" w14:paraId="0000002C">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default model is that the Restaurant or a PSP-supported merchant arrangement receives the Guest payment, while the Operator receives only its platform service fee or invoice payment. The Operator does not receive funds for the purpose of holding client money or manually redistributing Restaurant funds unless a separate legally reviewed model expressly provides otherwise.</w:t>
      </w:r>
      <w:r w:rsidDel="00000000" w:rsidR="00000000" w:rsidRPr="00000000">
        <w:rPr>
          <w:rtl w:val="0"/>
        </w:rPr>
      </w:r>
    </w:p>
    <w:p w:rsidR="00000000" w:rsidDel="00000000" w:rsidP="00000000" w:rsidRDefault="00000000" w:rsidRPr="00000000" w14:paraId="0000002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Refunds and Chargebacks</w:t>
      </w:r>
      <w:r w:rsidDel="00000000" w:rsidR="00000000" w:rsidRPr="00000000">
        <w:rPr>
          <w:rtl w:val="0"/>
        </w:rPr>
      </w:r>
    </w:p>
    <w:p w:rsidR="00000000" w:rsidDel="00000000" w:rsidP="00000000" w:rsidRDefault="00000000" w:rsidRPr="00000000" w14:paraId="0000002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Refunds, reversals and chargebacks are handled according to PSP rules, Restaurant obligations and mandatory law. The Restaurant is responsible for refunds and chargeback losses connected with Restaurant food, service, cancellation, price, fulfilment, consumer complaint or staff action. The Operator may provide logs and technical support but does not guarantee the PSP or card-scheme decision.</w:t>
      </w:r>
      <w:r w:rsidDel="00000000" w:rsidR="00000000" w:rsidRPr="00000000">
        <w:rPr>
          <w:rtl w:val="0"/>
        </w:rPr>
      </w:r>
    </w:p>
    <w:p w:rsidR="00000000" w:rsidDel="00000000" w:rsidP="00000000" w:rsidRDefault="00000000" w:rsidRPr="00000000" w14:paraId="0000002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7. Taxes and Fiscalisation</w:t>
      </w:r>
      <w:r w:rsidDel="00000000" w:rsidR="00000000" w:rsidRPr="00000000">
        <w:rPr>
          <w:rtl w:val="0"/>
        </w:rPr>
      </w:r>
    </w:p>
    <w:p w:rsidR="00000000" w:rsidDel="00000000" w:rsidP="00000000" w:rsidRDefault="00000000" w:rsidRPr="00000000" w14:paraId="0000003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Restaurant remains responsible for fiscal receipts, tax reporting, VAT or other applicable taxes, consumer documentation and accounting for sales to Guests. The Operator is responsible for its own invoices and taxes for the platform service fee.</w:t>
      </w:r>
      <w:r w:rsidDel="00000000" w:rsidR="00000000" w:rsidRPr="00000000">
        <w:rPr>
          <w:rtl w:val="0"/>
        </w:rPr>
      </w:r>
    </w:p>
    <w:p w:rsidR="00000000" w:rsidDel="00000000" w:rsidP="00000000" w:rsidRDefault="00000000" w:rsidRPr="00000000" w14:paraId="0000003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8. Suspension</w:t>
      </w:r>
      <w:r w:rsidDel="00000000" w:rsidR="00000000" w:rsidRPr="00000000">
        <w:rPr>
          <w:rtl w:val="0"/>
        </w:rPr>
      </w:r>
    </w:p>
    <w:p w:rsidR="00000000" w:rsidDel="00000000" w:rsidP="00000000" w:rsidRDefault="00000000" w:rsidRPr="00000000" w14:paraId="0000003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may suspend or limit the payment module for fraud risk, excessive chargebacks, PSP restriction, compliance concern, consumer complaints, Restaurant breach, technical risk, suspicious activity, unlawful goods/services, sanctions risk or reputational risk.</w:t>
      </w:r>
      <w:r w:rsidDel="00000000" w:rsidR="00000000" w:rsidRPr="00000000">
        <w:rPr>
          <w:rtl w:val="0"/>
        </w:rPr>
      </w:r>
    </w:p>
    <w:p w:rsidR="00000000" w:rsidDel="00000000" w:rsidP="00000000" w:rsidRDefault="00000000" w:rsidRPr="00000000" w14:paraId="00000033">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9. Evidence</w:t>
      </w:r>
      <w:r w:rsidDel="00000000" w:rsidR="00000000" w:rsidRPr="00000000">
        <w:rPr>
          <w:rtl w:val="0"/>
        </w:rPr>
      </w:r>
    </w:p>
    <w:p w:rsidR="00000000" w:rsidDel="00000000" w:rsidP="00000000" w:rsidRDefault="00000000" w:rsidRPr="00000000" w14:paraId="0000003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Dashboard confirmations, PSP reports, transaction IDs, order logs, refund logs, chargeback notices, timestamps, IP logs and electronic confirmations may be used as evidence of payment-module activation, payment, fee calculation, refund, chargeback and Restaurant obligations.</w:t>
      </w:r>
      <w:r w:rsidDel="00000000" w:rsidR="00000000" w:rsidRPr="00000000">
        <w:rPr>
          <w:rtl w:val="0"/>
        </w:rPr>
      </w:r>
    </w:p>
    <w:p w:rsidR="00000000" w:rsidDel="00000000" w:rsidP="00000000" w:rsidRDefault="00000000" w:rsidRPr="00000000" w14:paraId="00000035">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2"/>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8">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9">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A">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B">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C">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D">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1">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2">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3">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44">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5">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46">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4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Payment Module Terms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Io/npFAKLCTCII9vuQ0mlmQjQ==">CgMxLjA4AHIhMTdDZV9jejVXdnhqVmU3WjA0dEh3YWtWZnBWTWk5NXdv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