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rFonts w:ascii="Times New Roman" w:hAnsi="Times New Roman" w:eastAsia="Times New Roman"/>
          <w:b/>
          <w:color w:val="17365D"/>
          <w:sz w:val="48"/>
        </w:rPr>
        <w:t>QASTIO</w:t>
      </w:r>
    </w:p>
    <w:p>
      <w:pPr>
        <w:pStyle w:val="Title"/>
      </w:pPr>
      <w:r>
        <w:rPr>
          <w:rFonts w:ascii="Times New Roman" w:hAnsi="Times New Roman" w:eastAsia="Times New Roman"/>
        </w:rPr>
        <w:t>Pravila marketplace-a, listi, rangiranja i recenzija</w:t>
      </w:r>
    </w:p>
    <w:p>
      <w:pPr>
        <w:pStyle w:val="Subtitle"/>
      </w:pPr>
      <w:r>
        <w:rPr>
          <w:rFonts w:ascii="Times New Roman" w:hAnsi="Times New Roman" w:eastAsia="Times New Roman"/>
        </w:rPr>
        <w:t>Transparentnost javnih podataka i sadržaja korisnika</w:t>
      </w:r>
    </w:p>
    <w:p>
      <w:pPr/>
      <w:r>
        <w:rPr>
          <w:rFonts w:ascii="Times New Roman" w:hAnsi="Times New Roman" w:eastAsia="Times New Roman"/>
        </w:rPr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</w:tblPr>
      <w:tblGrid>
        <w:gridCol w:w="4592"/>
        <w:gridCol w:w="4592"/>
      </w:tblGrid>
      <w:tr>
        <w:trPr>
          <w:tblHeader w:val="true"/>
        </w:trPr>
        <w:tc>
          <w:tcPr>
            <w:tcW w:type="dxa" w:w="4592"/>
            <w:vAlign w:val="center"/>
            <w:shd w:fill="E7E6E6" w:val="clear"/>
          </w:tcPr>
          <w:p>
            <w:pPr/>
            <w:r>
              <w:rPr>
                <w:rFonts w:ascii="Times New Roman" w:hAnsi="Times New Roman" w:eastAsia="Times New Roman"/>
                <w:b/>
                <w:color w:val="FFFFFF"/>
                <w:sz w:val="18"/>
              </w:rPr>
              <w:t>Kontrola dokumenta</w:t>
            </w:r>
          </w:p>
        </w:tc>
        <w:tc>
          <w:tcPr>
            <w:tcW w:type="dxa" w:w="4592"/>
            <w:vAlign w:val="center"/>
            <w:shd w:fill="E7E6E6" w:val="clear"/>
          </w:tcPr>
          <w:p>
            <w:pPr/>
            <w:r>
              <w:rPr>
                <w:rFonts w:ascii="Times New Roman" w:hAnsi="Times New Roman" w:eastAsia="Times New Roman"/>
                <w:b/>
                <w:color w:val="FFFFFF"/>
                <w:sz w:val="18"/>
              </w:rPr>
              <w:t>Vrednost</w:t>
            </w:r>
          </w:p>
        </w:tc>
      </w:tr>
      <w:tr>
        <w:tc>
          <w:tcPr>
            <w:tcW w:type="dxa" w:w="4592"/>
            <w:vAlign w:val="center"/>
          </w:tcPr>
          <w:p>
            <w:pPr/>
            <w:r>
              <w:rPr>
                <w:rFonts w:ascii="Times New Roman" w:hAnsi="Times New Roman" w:eastAsia="Times New Roman"/>
                <w:b/>
                <w:sz w:val="18"/>
              </w:rPr>
              <w:t>Verzija</w:t>
            </w:r>
          </w:p>
        </w:tc>
        <w:tc>
          <w:tcPr>
            <w:tcW w:type="dxa" w:w="4592"/>
            <w:vAlign w:val="center"/>
          </w:tcPr>
          <w:p>
            <w:pPr/>
            <w:r>
              <w:rPr>
                <w:rFonts w:ascii="Times New Roman" w:hAnsi="Times New Roman" w:eastAsia="Times New Roman"/>
              </w:rPr>
              <w:t>v1.1</w:t>
            </w:r>
          </w:p>
        </w:tc>
      </w:tr>
      <w:tr>
        <w:tc>
          <w:tcPr>
            <w:tcW w:type="dxa" w:w="4592"/>
            <w:vAlign w:val="center"/>
          </w:tcPr>
          <w:p>
            <w:pPr/>
            <w:r>
              <w:rPr>
                <w:rFonts w:ascii="Times New Roman" w:hAnsi="Times New Roman" w:eastAsia="Times New Roman"/>
                <w:b/>
                <w:sz w:val="18"/>
              </w:rPr>
              <w:t>Datum izrade</w:t>
            </w:r>
          </w:p>
        </w:tc>
        <w:tc>
          <w:tcPr>
            <w:tcW w:type="dxa" w:w="4592"/>
            <w:vAlign w:val="center"/>
          </w:tcPr>
          <w:p>
            <w:pPr/>
            <w:r>
              <w:rPr>
                <w:rFonts w:ascii="Times New Roman" w:hAnsi="Times New Roman" w:eastAsia="Times New Roman"/>
                <w:b w:val="0"/>
                <w:sz w:val="18"/>
              </w:rPr>
              <w:t>16. jul 2026.</w:t>
            </w:r>
          </w:p>
        </w:tc>
      </w:tr>
      <w:tr>
        <w:tc>
          <w:tcPr>
            <w:tcW w:type="dxa" w:w="4592"/>
            <w:vAlign w:val="center"/>
          </w:tcPr>
          <w:p>
            <w:pPr/>
            <w:r>
              <w:rPr>
                <w:rFonts w:ascii="Times New Roman" w:hAnsi="Times New Roman" w:eastAsia="Times New Roman"/>
                <w:b/>
                <w:sz w:val="18"/>
              </w:rPr>
              <w:t>Klasifikacija</w:t>
            </w:r>
          </w:p>
        </w:tc>
        <w:tc>
          <w:tcPr>
            <w:tcW w:type="dxa" w:w="4592"/>
            <w:vAlign w:val="center"/>
          </w:tcPr>
          <w:p>
            <w:pPr/>
            <w:r>
              <w:rPr>
                <w:rFonts w:ascii="Times New Roman" w:hAnsi="Times New Roman" w:eastAsia="Times New Roman"/>
                <w:b w:val="0"/>
                <w:sz w:val="18"/>
              </w:rPr>
              <w:t>External - website publication</w:t>
            </w:r>
          </w:p>
        </w:tc>
      </w:tr>
      <w:tr>
        <w:tc>
          <w:tcPr>
            <w:tcW w:type="dxa" w:w="4592"/>
            <w:vAlign w:val="center"/>
          </w:tcPr>
          <w:p>
            <w:pPr/>
            <w:r>
              <w:rPr>
                <w:rFonts w:ascii="Times New Roman" w:hAnsi="Times New Roman" w:eastAsia="Times New Roman"/>
                <w:b/>
                <w:sz w:val="18"/>
              </w:rPr>
              <w:t>Status</w:t>
            </w:r>
          </w:p>
        </w:tc>
        <w:tc>
          <w:tcPr>
            <w:tcW w:type="dxa" w:w="4592"/>
            <w:vAlign w:val="center"/>
          </w:tcPr>
          <w:p>
            <w:pPr/>
            <w:r>
              <w:rPr>
                <w:rFonts w:ascii="Times New Roman" w:hAnsi="Times New Roman" w:eastAsia="Times New Roman"/>
                <w:b w:val="0"/>
                <w:sz w:val="18"/>
              </w:rPr>
              <w:t>Final launch draft - formal approval and live configuration required</w:t>
            </w:r>
          </w:p>
        </w:tc>
      </w:tr>
      <w:tr>
        <w:tc>
          <w:tcPr>
            <w:tcW w:type="dxa" w:w="4592"/>
            <w:vAlign w:val="center"/>
          </w:tcPr>
          <w:p>
            <w:pPr/>
            <w:r>
              <w:rPr>
                <w:rFonts w:ascii="Times New Roman" w:hAnsi="Times New Roman" w:eastAsia="Times New Roman"/>
              </w:rPr>
              <w:t>Operator platforme u Srbiji</w:t>
            </w:r>
          </w:p>
        </w:tc>
        <w:tc>
          <w:tcPr>
            <w:tcW w:type="dxa" w:w="4592"/>
            <w:vAlign w:val="center"/>
          </w:tcPr>
          <w:p>
            <w:pPr/>
            <w:r>
              <w:rPr>
                <w:rFonts w:ascii="Times New Roman" w:hAnsi="Times New Roman" w:eastAsia="Times New Roman"/>
              </w:rPr>
              <w:t>FOODIT SOLUTIONS DOO BEOGRAD (VOŽDOVAC)</w:t>
            </w:r>
          </w:p>
        </w:tc>
      </w:tr>
      <w:tr>
        <w:tc>
          <w:tcPr>
            <w:tcW w:type="dxa" w:w="4592"/>
            <w:vAlign w:val="center"/>
          </w:tcPr>
          <w:p>
            <w:pPr/>
            <w:r>
              <w:rPr>
                <w:rFonts w:ascii="Times New Roman" w:hAnsi="Times New Roman" w:eastAsia="Times New Roman"/>
              </w:rPr>
              <w:t>Kontakt operatora</w:t>
            </w:r>
          </w:p>
        </w:tc>
        <w:tc>
          <w:tcPr>
            <w:tcW w:type="dxa" w:w="4592"/>
            <w:vAlign w:val="center"/>
          </w:tcPr>
          <w:p>
            <w:pPr/>
            <w:r>
              <w:rPr>
                <w:rFonts w:ascii="Times New Roman" w:hAnsi="Times New Roman" w:eastAsia="Times New Roman"/>
              </w:rPr>
              <w:t>eleznikola5@gmail.com</w:t>
            </w:r>
          </w:p>
        </w:tc>
      </w:tr>
      <w:tr>
        <w:tc>
          <w:tcPr>
            <w:tcW w:type="dxa" w:w="4592"/>
            <w:vAlign w:val="center"/>
          </w:tcPr>
          <w:p>
            <w:pPr/>
            <w:r>
              <w:rPr>
                <w:rFonts w:ascii="Times New Roman" w:hAnsi="Times New Roman" w:eastAsia="Times New Roman"/>
                <w:b/>
                <w:sz w:val="18"/>
              </w:rPr>
              <w:t>Platforma</w:t>
            </w:r>
          </w:p>
        </w:tc>
        <w:tc>
          <w:tcPr>
            <w:tcW w:type="dxa" w:w="4592"/>
            <w:vAlign w:val="center"/>
          </w:tcPr>
          <w:p>
            <w:pPr/>
            <w:r>
              <w:rPr>
                <w:rFonts w:ascii="Times New Roman" w:hAnsi="Times New Roman" w:eastAsia="Times New Roman"/>
                <w:b w:val="0"/>
                <w:sz w:val="18"/>
              </w:rPr>
              <w:t>https://qastio.app/</w:t>
            </w:r>
          </w:p>
        </w:tc>
      </w:tr>
    </w:tbl>
    <w:p>
      <w:pPr/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Heading1"/>
      </w:pPr>
      <w:r>
        <w:rPr>
          <w:rFonts w:ascii="Times New Roman" w:hAnsi="Times New Roman" w:eastAsia="Times New Roman"/>
        </w:rPr>
        <w:t>1. Vrste listi i statusa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</w:tblPr>
      <w:tblGrid>
        <w:gridCol w:w="4592"/>
        <w:gridCol w:w="4592"/>
      </w:tblGrid>
      <w:tr>
        <w:trPr>
          <w:tblHeader w:val="true"/>
        </w:trPr>
        <w:tc>
          <w:tcPr>
            <w:tcW w:type="dxa" w:w="4592"/>
            <w:vAlign w:val="center"/>
            <w:shd w:fill="E7E6E6" w:val="clear"/>
          </w:tcPr>
          <w:p>
            <w:pPr/>
            <w:r>
              <w:rPr>
                <w:rFonts w:ascii="Times New Roman" w:hAnsi="Times New Roman" w:eastAsia="Times New Roman"/>
                <w:b/>
                <w:color w:val="FFFFFF"/>
                <w:sz w:val="17"/>
              </w:rPr>
              <w:t>Status</w:t>
            </w:r>
          </w:p>
        </w:tc>
        <w:tc>
          <w:tcPr>
            <w:tcW w:type="dxa" w:w="4592"/>
            <w:vAlign w:val="center"/>
            <w:shd w:fill="E7E6E6" w:val="clear"/>
          </w:tcPr>
          <w:p>
            <w:pPr/>
            <w:r>
              <w:rPr>
                <w:rFonts w:ascii="Times New Roman" w:hAnsi="Times New Roman" w:eastAsia="Times New Roman"/>
                <w:b/>
                <w:color w:val="FFFFFF"/>
                <w:sz w:val="17"/>
              </w:rPr>
              <w:t>Značenje</w:t>
            </w:r>
          </w:p>
        </w:tc>
      </w:tr>
      <w:tr>
        <w:tc>
          <w:tcPr>
            <w:tcW w:type="dxa" w:w="4592"/>
            <w:vAlign w:val="center"/>
          </w:tcPr>
          <w:p>
            <w:pPr/>
            <w:r>
              <w:rPr>
                <w:rFonts w:ascii="Times New Roman" w:hAnsi="Times New Roman" w:eastAsia="Times New Roman"/>
                <w:b w:val="0"/>
                <w:sz w:val="17"/>
              </w:rPr>
              <w:t>Unverified</w:t>
            </w:r>
          </w:p>
        </w:tc>
        <w:tc>
          <w:tcPr>
            <w:tcW w:type="dxa" w:w="4592"/>
            <w:vAlign w:val="center"/>
          </w:tcPr>
          <w:p>
            <w:pPr/>
            <w:r>
              <w:rPr>
                <w:rFonts w:ascii="Times New Roman" w:hAnsi="Times New Roman" w:eastAsia="Times New Roman"/>
                <w:b w:val="0"/>
                <w:sz w:val="17"/>
              </w:rPr>
              <w:t>Qastio nije potvrdio upravljanje listom niti potpunu ažurnost podataka</w:t>
            </w:r>
          </w:p>
        </w:tc>
      </w:tr>
      <w:tr>
        <w:tc>
          <w:tcPr>
            <w:tcW w:type="dxa" w:w="4592"/>
            <w:vAlign w:val="center"/>
          </w:tcPr>
          <w:p>
            <w:pPr/>
            <w:r>
              <w:rPr>
                <w:rFonts w:ascii="Times New Roman" w:hAnsi="Times New Roman" w:eastAsia="Times New Roman"/>
                <w:b w:val="0"/>
                <w:sz w:val="17"/>
              </w:rPr>
              <w:t>Claimed</w:t>
            </w:r>
          </w:p>
        </w:tc>
        <w:tc>
          <w:tcPr>
            <w:tcW w:type="dxa" w:w="4592"/>
            <w:vAlign w:val="center"/>
          </w:tcPr>
          <w:p>
            <w:pPr/>
            <w:r>
              <w:rPr>
                <w:rFonts w:ascii="Times New Roman" w:hAnsi="Times New Roman" w:eastAsia="Times New Roman"/>
                <w:b w:val="0"/>
                <w:sz w:val="17"/>
              </w:rPr>
              <w:t>Ovlašćeno lice je preuzelo upravljanje listom</w:t>
            </w:r>
          </w:p>
        </w:tc>
      </w:tr>
      <w:tr>
        <w:tc>
          <w:tcPr>
            <w:tcW w:type="dxa" w:w="4592"/>
            <w:vAlign w:val="center"/>
          </w:tcPr>
          <w:p>
            <w:pPr/>
            <w:r>
              <w:rPr>
                <w:rFonts w:ascii="Times New Roman" w:hAnsi="Times New Roman" w:eastAsia="Times New Roman"/>
                <w:b w:val="0"/>
                <w:sz w:val="17"/>
              </w:rPr>
              <w:t>Verified</w:t>
            </w:r>
          </w:p>
        </w:tc>
        <w:tc>
          <w:tcPr>
            <w:tcW w:type="dxa" w:w="4592"/>
            <w:vAlign w:val="center"/>
          </w:tcPr>
          <w:p>
            <w:pPr/>
            <w:r>
              <w:rPr>
                <w:rFonts w:ascii="Times New Roman" w:hAnsi="Times New Roman" w:eastAsia="Times New Roman"/>
                <w:b w:val="0"/>
                <w:sz w:val="17"/>
              </w:rPr>
              <w:t>Izvršen je objavljeni skup provera identiteta i ovlašćenja</w:t>
            </w:r>
          </w:p>
        </w:tc>
      </w:tr>
      <w:tr>
        <w:tc>
          <w:tcPr>
            <w:tcW w:type="dxa" w:w="4592"/>
            <w:vAlign w:val="center"/>
          </w:tcPr>
          <w:p>
            <w:pPr/>
            <w:r>
              <w:rPr>
                <w:rFonts w:ascii="Times New Roman" w:hAnsi="Times New Roman" w:eastAsia="Times New Roman"/>
                <w:b w:val="0"/>
                <w:sz w:val="17"/>
              </w:rPr>
              <w:t>Partner</w:t>
            </w:r>
          </w:p>
        </w:tc>
        <w:tc>
          <w:tcPr>
            <w:tcW w:type="dxa" w:w="4592"/>
            <w:vAlign w:val="center"/>
          </w:tcPr>
          <w:p>
            <w:pPr/>
            <w:r>
              <w:rPr>
                <w:rFonts w:ascii="Times New Roman" w:hAnsi="Times New Roman" w:eastAsia="Times New Roman"/>
                <w:b w:val="0"/>
                <w:sz w:val="17"/>
              </w:rPr>
              <w:t>Postoji komercijalni odnos sa Qastio operatorom</w:t>
            </w:r>
          </w:p>
        </w:tc>
      </w:tr>
      <w:tr>
        <w:tc>
          <w:tcPr>
            <w:tcW w:type="dxa" w:w="4592"/>
            <w:vAlign w:val="center"/>
          </w:tcPr>
          <w:p>
            <w:pPr/>
            <w:r>
              <w:rPr>
                <w:rFonts w:ascii="Times New Roman" w:hAnsi="Times New Roman" w:eastAsia="Times New Roman"/>
                <w:b w:val="0"/>
                <w:sz w:val="17"/>
              </w:rPr>
              <w:t>Ordering Enabled</w:t>
            </w:r>
          </w:p>
        </w:tc>
        <w:tc>
          <w:tcPr>
            <w:tcW w:type="dxa" w:w="4592"/>
            <w:vAlign w:val="center"/>
          </w:tcPr>
          <w:p>
            <w:pPr/>
            <w:r>
              <w:rPr>
                <w:rFonts w:ascii="Times New Roman" w:hAnsi="Times New Roman" w:eastAsia="Times New Roman"/>
                <w:b w:val="0"/>
                <w:sz w:val="17"/>
              </w:rPr>
              <w:t>Tehnički je aktivirana funkcija poručivanja</w:t>
            </w:r>
          </w:p>
        </w:tc>
      </w:tr>
      <w:tr>
        <w:tc>
          <w:tcPr>
            <w:tcW w:type="dxa" w:w="4592"/>
            <w:vAlign w:val="center"/>
          </w:tcPr>
          <w:p>
            <w:pPr/>
            <w:r>
              <w:rPr>
                <w:rFonts w:ascii="Times New Roman" w:hAnsi="Times New Roman" w:eastAsia="Times New Roman"/>
                <w:b w:val="0"/>
                <w:sz w:val="17"/>
              </w:rPr>
              <w:t>Sponsored</w:t>
            </w:r>
          </w:p>
        </w:tc>
        <w:tc>
          <w:tcPr>
            <w:tcW w:type="dxa" w:w="4592"/>
            <w:vAlign w:val="center"/>
          </w:tcPr>
          <w:p>
            <w:pPr/>
            <w:r>
              <w:rPr>
                <w:rFonts w:ascii="Times New Roman" w:hAnsi="Times New Roman" w:eastAsia="Times New Roman"/>
                <w:b w:val="0"/>
                <w:sz w:val="17"/>
              </w:rPr>
              <w:t>Pozicija ili sadržaj su plaćeni</w:t>
            </w:r>
          </w:p>
        </w:tc>
      </w:tr>
    </w:tbl>
    <w:p>
      <w:pPr/>
      <w:r>
        <w:rPr>
          <w:rFonts w:ascii="Times New Roman" w:hAnsi="Times New Roman" w:eastAsia="Times New Roman"/>
        </w:rPr>
      </w:r>
    </w:p>
    <w:p>
      <w:pPr>
        <w:pStyle w:val="Heading1"/>
      </w:pPr>
      <w:r>
        <w:rPr>
          <w:rFonts w:ascii="Times New Roman" w:hAnsi="Times New Roman" w:eastAsia="Times New Roman"/>
        </w:rPr>
        <w:t>2. Owner claim i ispravke</w:t>
      </w:r>
    </w:p>
    <w:p>
      <w:pPr/>
      <w:r>
        <w:rPr>
          <w:rFonts w:ascii="Times New Roman" w:hAnsi="Times New Roman" w:eastAsia="Times New Roman"/>
        </w:rPr>
        <w:t>Zahtev za preuzimanje liste može se proveravati poslovnim emailom, telefonom, domenom, registracionim podacima, kontaktom sa lokacijom ili drugim razumnim dokazom. U slučaju konkurentnih zahteva, osetljive izmene mogu biti privremeno zaustavljene. Ispravka netačnog javnog podatka može se tražiti na eleznikola5@gmail.com.</w:t>
      </w:r>
    </w:p>
    <w:p>
      <w:pPr>
        <w:pStyle w:val="Heading1"/>
      </w:pPr>
      <w:r>
        <w:rPr>
          <w:rFonts w:ascii="Times New Roman" w:hAnsi="Times New Roman" w:eastAsia="Times New Roman"/>
        </w:rPr>
        <w:t>3. Rangiranje</w:t>
      </w:r>
    </w:p>
    <w:p>
      <w:pPr/>
      <w:r>
        <w:rPr>
          <w:rFonts w:ascii="Times New Roman" w:hAnsi="Times New Roman" w:eastAsia="Times New Roman"/>
        </w:rPr>
        <w:t>Glavni parametri organskog rangiranja mogu uključivati relevantnost upita, lokaciju, otvorenost, dostupnost funkcije, svežinu menija i radnog vremena, performanse izvršenja, autentičnu aktivnost i filtere korisnika. Relativna važnost zavisi od konteksta. Plaćeno pozicioniranje mora biti odvojeno i označeno kao „Sponsored“ ili „Promovisano“.</w:t>
      </w:r>
    </w:p>
    <w:p>
      <w:pPr>
        <w:pStyle w:val="Heading1"/>
      </w:pPr>
      <w:r>
        <w:rPr>
          <w:rFonts w:ascii="Times New Roman" w:hAnsi="Times New Roman" w:eastAsia="Times New Roman"/>
        </w:rPr>
        <w:t>4. Recenzije</w:t>
      </w:r>
    </w:p>
    <w:p>
      <w:pPr/>
      <w:r>
        <w:rPr>
          <w:rFonts w:ascii="Times New Roman" w:hAnsi="Times New Roman" w:eastAsia="Times New Roman"/>
        </w:rPr>
        <w:t>Recenzija treba da potiče od stvarnog iskustva i ne sme sadržati lažne činjenice, govor mržnje, pretnje, lične podatke, ucenu, reklamu ili tuđi sadržaj bez prava. Zaposleni, vlasnici, povezane strane i plaćeni promotori ne smeju se predstavljati kao nezavisni gosti.</w:t>
      </w:r>
    </w:p>
    <w:p>
      <w:pPr>
        <w:pStyle w:val="Heading1"/>
      </w:pPr>
      <w:r>
        <w:rPr>
          <w:rFonts w:ascii="Times New Roman" w:hAnsi="Times New Roman" w:eastAsia="Times New Roman"/>
        </w:rPr>
        <w:t>5. Moderacija i prigovor</w:t>
      </w:r>
    </w:p>
    <w:p>
      <w:pPr/>
      <w:r>
        <w:rPr>
          <w:rFonts w:ascii="Times New Roman" w:hAnsi="Times New Roman" w:eastAsia="Times New Roman"/>
        </w:rPr>
        <w:t>Sadržaj može biti ograničen, uklonjen ili označen kada krši zakon, ova pravila, prava trećih lica ili integritet Platforme. Gde je primereno, korisnik ili poslovni korisnik dobija razlog i mogućnost prigovora. Hitno uklanjanje je moguće zbog bezbednosti, prevare, ličnih podataka ili naloga nadležnog organa.</w:t>
      </w:r>
    </w:p>
    <w:p>
      <w:pPr>
        <w:pStyle w:val="Heading1"/>
      </w:pPr>
      <w:r>
        <w:rPr>
          <w:rFonts w:ascii="Times New Roman" w:hAnsi="Times New Roman" w:eastAsia="Times New Roman"/>
        </w:rPr>
        <w:t>6. Provera autentičnosti recenzija</w:t>
      </w:r>
    </w:p>
    <w:p>
      <w:pPr/>
      <w:r>
        <w:rPr>
          <w:rFonts w:ascii="Times New Roman" w:hAnsi="Times New Roman" w:eastAsia="Times New Roman"/>
        </w:rPr>
        <w:t>Kada se recenzije predstavljaju kao recenzije stvarnih gostiju, Platforma primenjuje razumne i srazmerne provere, na primer vezu sa porudžbinom, rezervacijom, QR sesijom, nalogom ili signalima protiv zloupotrebe. Qastio ne tvrdi da je svaka recenzija apsolutno verifikovana ako to nije tačno.</w:t>
      </w:r>
    </w:p>
    <w:p>
      <w:pPr>
        <w:pStyle w:val="Heading1"/>
      </w:pPr>
      <w:r>
        <w:rPr>
          <w:rFonts w:ascii="Times New Roman" w:hAnsi="Times New Roman" w:eastAsia="Times New Roman"/>
        </w:rPr>
        <w:t>7. Plaćeno i organsko</w:t>
      </w:r>
    </w:p>
    <w:p>
      <w:pPr/>
      <w:r>
        <w:rPr>
          <w:rFonts w:ascii="Times New Roman" w:hAnsi="Times New Roman" w:eastAsia="Times New Roman"/>
        </w:rPr>
        <w:t>Partnerstvo, verifikacija, mogućnost poručivanja i sponzorisanje su različiti statusi. Plaćanje ne daje pravo na oznaku „Verified“, prikrivanje sponzorstva, brisanje zakonite negativne recenzije ili obmanjujuću tvrdnju o kvalitetu.</w:t>
      </w:r>
    </w:p>
    <w:p>
      <w:pPr>
        <w:pStyle w:val="Heading1"/>
      </w:pPr>
      <w:r>
        <w:rPr>
          <w:rFonts w:ascii="Times New Roman" w:hAnsi="Times New Roman" w:eastAsia="Times New Roman"/>
        </w:rPr>
        <w:t>Pravni izvori</w:t>
      </w:r>
    </w:p>
    <w:p>
      <w:pPr/>
      <w:r>
        <w:rPr>
          <w:rFonts w:ascii="Times New Roman" w:hAnsi="Times New Roman" w:eastAsia="Times New Roman"/>
        </w:rPr>
        <w:t>Dokument se primenjuje zajedno sa važećim propisima i njihovim prelaznim odredbama. Sledeće veze vode ka zvaničnim izvorima:</w:t>
      </w:r>
    </w:p>
    <w:p>
      <w:pPr>
        <w:pStyle w:val="ListBullet"/>
      </w:pPr>
      <w:r>
        <w:rPr>
          <w:rFonts w:ascii="Times New Roman" w:hAnsi="Times New Roman" w:eastAsia="Times New Roman"/>
        </w:rPr>
        <w:t>Zakon o elektronskoj trgovini Republike Srbije - važeći tekst: https://pravno-informacioni-sistem.rs/SlGlasnikPortal/eli/rep/sgrs/skupstina/zakon/2009/41/4/reg</w:t>
      </w:r>
    </w:p>
    <w:p>
      <w:pPr>
        <w:pStyle w:val="ListBullet"/>
      </w:pPr>
      <w:r>
        <w:rPr>
          <w:rFonts w:ascii="Times New Roman" w:hAnsi="Times New Roman" w:eastAsia="Times New Roman"/>
        </w:rPr>
        <w:t>Zakon o zaštiti podataka o ličnosti ("Sl. glasnik RS", br. 87/2018): https://pravno-informacioni-sistem.rs/SlGlasnikPortal/eli/rep/sgrs/skupstina/zakon/2018/87/13/reg</w:t>
      </w:r>
    </w:p>
    <w:p>
      <w:pPr>
        <w:pStyle w:val="ListBullet"/>
      </w:pPr>
      <w:r>
        <w:rPr>
          <w:rFonts w:ascii="Times New Roman" w:hAnsi="Times New Roman" w:eastAsia="Times New Roman"/>
        </w:rPr>
        <w:t>Zakon o zaštiti potrošača - važeći tekst i prelazne odredbe: https://www.parlament.gov.rs/upload/archive/files/lat/pdf/zakoni/14_saziv/1317-26-lat..pdf</w:t>
      </w:r>
    </w:p>
    <w:p>
      <w:pPr>
        <w:pStyle w:val="ListBullet"/>
      </w:pPr>
      <w:r>
        <w:rPr>
          <w:rFonts w:ascii="Times New Roman" w:hAnsi="Times New Roman" w:eastAsia="Times New Roman"/>
        </w:rPr>
        <w:t>Zakon o oglašavanju Republike Srbije - važeći tekst: https://pravno-informacioni-sistem.rs/eli/rep/sgrs/skupstina/zakon/2016/6/4/reg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247" w:right="1361" w:bottom="1247" w:left="136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8"/>
      </w:rPr>
      <w:t>Qastio | FOODIT SOLUTIONS DOO | Controlled document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76" w:lineRule="auto"/>
      <w:jc w:val="both"/>
    </w:pPr>
    <w:rPr>
      <w:rFonts w:ascii="Times New Roman" w:hAnsi="Times New Roman" w:eastAsia="Times New Roman"/>
      <w:color w:val="000000"/>
      <w:sz w:val="22"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00"/>
      <w:jc w:val="left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8"/>
      <w:szCs w:val="28"/>
      <w:lang w:val="sr-Latn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jc w:val="left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5"/>
      <w:szCs w:val="26"/>
      <w:lang w:val="sr-Latn-R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jc w:val="left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3"/>
      <w:lang w:val="sr-Latn-R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sr-Latn-R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sr-Latn-R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sr-Latn-R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sr-Latn-R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sr-Latn-R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pBdr>
        <w:bottom w:val="single" w:sz="8" w:space="4" w:color="4F81BD" w:themeColor="accent1"/>
      </w:pBdr>
      <w:spacing w:after="100" w:line="240" w:lineRule="auto" w:before="0"/>
      <w:contextualSpacing/>
      <w:jc w:val="center"/>
    </w:pPr>
    <w:rPr>
      <w:rFonts w:asciiTheme="majorHAnsi" w:eastAsiaTheme="majorEastAsia" w:hAnsiTheme="majorHAnsi" w:cstheme="majorBidi" w:ascii="Times New Roman" w:hAnsi="Times New Roman" w:eastAsia="Times New Roman"/>
      <w:b/>
      <w:color w:val="000000"/>
      <w:spacing w:val="5"/>
      <w:kern w:val="28"/>
      <w:sz w:val="36"/>
      <w:szCs w:val="52"/>
      <w:lang w:val="sr-Latn-RS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numPr>
        <w:ilvl w:val="1"/>
      </w:numPr>
      <w:spacing w:before="0" w:after="100"/>
      <w:jc w:val="center"/>
    </w:pPr>
    <w:rPr>
      <w:rFonts w:asciiTheme="majorHAnsi" w:eastAsiaTheme="majorEastAsia" w:hAnsiTheme="majorHAnsi" w:cstheme="majorBidi" w:ascii="Times New Roman" w:hAnsi="Times New Roman" w:eastAsia="Times New Roman"/>
      <w:b w:val="0"/>
      <w:i/>
      <w:iCs/>
      <w:color w:val="000000"/>
      <w:spacing w:val="15"/>
      <w:sz w:val="22"/>
      <w:szCs w:val="24"/>
      <w:lang w:val="sr-Latn-RS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  <w:lang w:val="sr-Latn-RS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60"/>
      <w:contextualSpacing/>
    </w:pPr>
    <w:rPr>
      <w:rFonts w:ascii="Times New Roman" w:hAnsi="Times New Roman" w:eastAsia="Times New Roman"/>
      <w:sz w:val="22"/>
      <w:lang w:val="sr-Latn-RS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spacing w:after="60"/>
      <w:contextualSpacing/>
    </w:pPr>
    <w:rPr>
      <w:rFonts w:ascii="Times New Roman" w:hAnsi="Times New Roman" w:eastAsia="Times New Roman"/>
      <w:sz w:val="22"/>
      <w:lang w:val="sr-Latn-RS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60"/>
      <w:contextualSpacing/>
    </w:pPr>
    <w:rPr>
      <w:rFonts w:ascii="Times New Roman" w:hAnsi="Times New Roman" w:eastAsia="Times New Roman"/>
      <w:sz w:val="22"/>
      <w:lang w:val="sr-Latn-RS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spacing w:after="60"/>
      <w:contextualSpacing/>
    </w:pPr>
    <w:rPr>
      <w:rFonts w:ascii="Times New Roman" w:hAnsi="Times New Roman" w:eastAsia="Times New Roman"/>
      <w:sz w:val="22"/>
      <w:lang w:val="sr-Latn-RS"/>
    </w:r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  <w:lang w:val="sr-Latn-RS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  <w:lang w:val="sr-Latn-RS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  <w:lang w:val="sr-Latn-RS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val="sr-Latn-R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Pravila marketplace-a, listi, rangiranja i recenzija</dc:title>
  <dc:subject>Qastio Serbia legal and operational documentation</dc:subject>
  <dc:creator>FOODIT SOLUTIONS DOO BEOGRAD (VOŽDOVAC)</dc:creator>
  <cp:keywords>Qastio, FOODIT, Serbia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