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Times New Roman" w:hAnsi="Times New Roman" w:eastAsia="Times New Roman"/>
          <w:b/>
          <w:color w:val="17365D"/>
          <w:sz w:val="48"/>
        </w:rPr>
        <w:t>QASTIO</w:t>
      </w:r>
    </w:p>
    <w:p>
      <w:pPr>
        <w:pStyle w:val="Title"/>
      </w:pPr>
      <w:r>
        <w:rPr>
          <w:rFonts w:ascii="Times New Roman" w:hAnsi="Times New Roman" w:eastAsia="Times New Roman"/>
        </w:rPr>
        <w:t>Pravno obaveštenje i podaci o operatoru</w:t>
      </w:r>
    </w:p>
    <w:p>
      <w:pPr>
        <w:pStyle w:val="Subtitle"/>
      </w:pPr>
      <w:r>
        <w:rPr>
          <w:rFonts w:ascii="Times New Roman" w:hAnsi="Times New Roman" w:eastAsia="Times New Roman"/>
        </w:rPr>
        <w:t>Obavezni podaci o pružaocu usluge i ulozi platforme</w:t>
      </w:r>
    </w:p>
    <w:p>
      <w:pPr/>
      <w:r>
        <w:rPr>
          <w:rFonts w:ascii="Times New Roman" w:hAnsi="Times New Roman" w:eastAsia="Times New Roman"/>
        </w:rPr>
      </w:r>
    </w:p>
    <w:tbl>
      <w:tblPr>
        <w:tblStyle w:val="TableGrid"/>
        <w:tblW w:type="auto" w:w="0"/>
        <w:tblLayout w:type="autofit"/>
        <w:tblLook w:firstColumn="1" w:firstRow="1" w:lastColumn="0" w:lastRow="0" w:noHBand="0" w:noVBand="1" w:val="04A0"/>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Grid>
        <w:gridCol w:w="4592"/>
        <w:gridCol w:w="4592"/>
      </w:tblGrid>
      <w:tr>
        <w:trPr>
          <w:tblHeader w:val="true"/>
        </w:trPr>
        <w:tc>
          <w:tcPr>
            <w:tcW w:type="dxa" w:w="4592"/>
            <w:vAlign w:val="center"/>
            <w:shd w:fill="E7E6E6" w:val="clear"/>
          </w:tcPr>
          <w:p>
            <w:pPr/>
            <w:r>
              <w:rPr>
                <w:rFonts w:ascii="Times New Roman" w:hAnsi="Times New Roman" w:eastAsia="Times New Roman"/>
                <w:b/>
                <w:color w:val="FFFFFF"/>
                <w:sz w:val="18"/>
              </w:rPr>
              <w:t>Kontrola dokumenta</w:t>
            </w:r>
          </w:p>
        </w:tc>
        <w:tc>
          <w:tcPr>
            <w:tcW w:type="dxa" w:w="4592"/>
            <w:vAlign w:val="center"/>
            <w:shd w:fill="E7E6E6" w:val="clear"/>
          </w:tcPr>
          <w:p>
            <w:pPr/>
            <w:r>
              <w:rPr>
                <w:rFonts w:ascii="Times New Roman" w:hAnsi="Times New Roman" w:eastAsia="Times New Roman"/>
                <w:b/>
                <w:color w:val="FFFFFF"/>
                <w:sz w:val="18"/>
              </w:rPr>
              <w:t>Vrednost</w:t>
            </w:r>
          </w:p>
        </w:tc>
      </w:tr>
      <w:tr>
        <w:tc>
          <w:tcPr>
            <w:tcW w:type="dxa" w:w="4592"/>
            <w:vAlign w:val="center"/>
          </w:tcPr>
          <w:p>
            <w:pPr/>
            <w:r>
              <w:rPr>
                <w:rFonts w:ascii="Times New Roman" w:hAnsi="Times New Roman" w:eastAsia="Times New Roman"/>
                <w:b/>
                <w:sz w:val="18"/>
              </w:rPr>
              <w:t>Verzija</w:t>
            </w:r>
          </w:p>
        </w:tc>
        <w:tc>
          <w:tcPr>
            <w:tcW w:type="dxa" w:w="4592"/>
            <w:vAlign w:val="center"/>
          </w:tcPr>
          <w:p>
            <w:pPr/>
            <w:r>
              <w:rPr>
                <w:rFonts w:ascii="Times New Roman" w:hAnsi="Times New Roman" w:eastAsia="Times New Roman"/>
              </w:rPr>
              <w:t>v1.1</w:t>
            </w:r>
          </w:p>
        </w:tc>
      </w:tr>
      <w:tr>
        <w:tc>
          <w:tcPr>
            <w:tcW w:type="dxa" w:w="4592"/>
            <w:vAlign w:val="center"/>
          </w:tcPr>
          <w:p>
            <w:pPr/>
            <w:r>
              <w:rPr>
                <w:rFonts w:ascii="Times New Roman" w:hAnsi="Times New Roman" w:eastAsia="Times New Roman"/>
                <w:b/>
                <w:sz w:val="18"/>
              </w:rPr>
              <w:t>Datum izrade</w:t>
            </w:r>
          </w:p>
        </w:tc>
        <w:tc>
          <w:tcPr>
            <w:tcW w:type="dxa" w:w="4592"/>
            <w:vAlign w:val="center"/>
          </w:tcPr>
          <w:p>
            <w:pPr/>
            <w:r>
              <w:rPr>
                <w:rFonts w:ascii="Times New Roman" w:hAnsi="Times New Roman" w:eastAsia="Times New Roman"/>
                <w:b w:val="0"/>
                <w:sz w:val="18"/>
              </w:rPr>
              <w:t>16. jul 2026.</w:t>
            </w:r>
          </w:p>
        </w:tc>
      </w:tr>
      <w:tr>
        <w:tc>
          <w:tcPr>
            <w:tcW w:type="dxa" w:w="4592"/>
            <w:vAlign w:val="center"/>
          </w:tcPr>
          <w:p>
            <w:pPr/>
            <w:r>
              <w:rPr>
                <w:rFonts w:ascii="Times New Roman" w:hAnsi="Times New Roman" w:eastAsia="Times New Roman"/>
                <w:b/>
                <w:sz w:val="18"/>
              </w:rPr>
              <w:t>Klasifikacija</w:t>
            </w:r>
          </w:p>
        </w:tc>
        <w:tc>
          <w:tcPr>
            <w:tcW w:type="dxa" w:w="4592"/>
            <w:vAlign w:val="center"/>
          </w:tcPr>
          <w:p>
            <w:pPr/>
            <w:r>
              <w:rPr>
                <w:rFonts w:ascii="Times New Roman" w:hAnsi="Times New Roman" w:eastAsia="Times New Roman"/>
                <w:b w:val="0"/>
                <w:sz w:val="18"/>
              </w:rPr>
              <w:t>External - website publication</w:t>
            </w:r>
          </w:p>
        </w:tc>
      </w:tr>
      <w:tr>
        <w:tc>
          <w:tcPr>
            <w:tcW w:type="dxa" w:w="4592"/>
            <w:vAlign w:val="center"/>
          </w:tcPr>
          <w:p>
            <w:pPr/>
            <w:r>
              <w:rPr>
                <w:rFonts w:ascii="Times New Roman" w:hAnsi="Times New Roman" w:eastAsia="Times New Roman"/>
                <w:b/>
                <w:sz w:val="18"/>
              </w:rPr>
              <w:t>Status</w:t>
            </w:r>
          </w:p>
        </w:tc>
        <w:tc>
          <w:tcPr>
            <w:tcW w:type="dxa" w:w="4592"/>
            <w:vAlign w:val="center"/>
          </w:tcPr>
          <w:p>
            <w:pPr/>
            <w:r>
              <w:rPr>
                <w:rFonts w:ascii="Times New Roman" w:hAnsi="Times New Roman" w:eastAsia="Times New Roman"/>
                <w:b w:val="0"/>
                <w:sz w:val="18"/>
              </w:rPr>
              <w:t>Final launch draft - formal approval and live configuration required</w:t>
            </w:r>
          </w:p>
        </w:tc>
      </w:tr>
      <w:tr>
        <w:tc>
          <w:tcPr>
            <w:tcW w:type="dxa" w:w="4592"/>
            <w:vAlign w:val="center"/>
          </w:tcPr>
          <w:p>
            <w:pPr/>
            <w:r>
              <w:rPr>
                <w:rFonts w:ascii="Times New Roman" w:hAnsi="Times New Roman" w:eastAsia="Times New Roman"/>
              </w:rPr>
              <w:t>Operator platforme u Srbiji</w:t>
            </w:r>
          </w:p>
        </w:tc>
        <w:tc>
          <w:tcPr>
            <w:tcW w:type="dxa" w:w="4592"/>
            <w:vAlign w:val="center"/>
          </w:tcPr>
          <w:p>
            <w:pPr/>
            <w:r>
              <w:rPr>
                <w:rFonts w:ascii="Times New Roman" w:hAnsi="Times New Roman" w:eastAsia="Times New Roman"/>
              </w:rPr>
              <w:t>FOODIT SOLUTIONS DOO BEOGRAD (VOŽDOVAC)</w:t>
            </w:r>
          </w:p>
        </w:tc>
      </w:tr>
      <w:tr>
        <w:tc>
          <w:tcPr>
            <w:tcW w:type="dxa" w:w="4592"/>
            <w:vAlign w:val="center"/>
          </w:tcPr>
          <w:p>
            <w:pPr/>
            <w:r>
              <w:rPr>
                <w:rFonts w:ascii="Times New Roman" w:hAnsi="Times New Roman" w:eastAsia="Times New Roman"/>
              </w:rPr>
              <w:t>Kontakt operatora</w:t>
            </w:r>
          </w:p>
        </w:tc>
        <w:tc>
          <w:tcPr>
            <w:tcW w:type="dxa" w:w="4592"/>
            <w:vAlign w:val="center"/>
          </w:tcPr>
          <w:p>
            <w:pPr/>
            <w:r>
              <w:rPr>
                <w:rFonts w:ascii="Times New Roman" w:hAnsi="Times New Roman" w:eastAsia="Times New Roman"/>
              </w:rPr>
              <w:t>eleznikola5@gmail.com</w:t>
            </w:r>
          </w:p>
        </w:tc>
      </w:tr>
      <w:tr>
        <w:tc>
          <w:tcPr>
            <w:tcW w:type="dxa" w:w="4592"/>
            <w:vAlign w:val="center"/>
          </w:tcPr>
          <w:p>
            <w:pPr/>
            <w:r>
              <w:rPr>
                <w:rFonts w:ascii="Times New Roman" w:hAnsi="Times New Roman" w:eastAsia="Times New Roman"/>
                <w:b/>
                <w:sz w:val="18"/>
              </w:rPr>
              <w:t>Platforma</w:t>
            </w:r>
          </w:p>
        </w:tc>
        <w:tc>
          <w:tcPr>
            <w:tcW w:type="dxa" w:w="4592"/>
            <w:vAlign w:val="center"/>
          </w:tcPr>
          <w:p>
            <w:pPr/>
            <w:r>
              <w:rPr>
                <w:rFonts w:ascii="Times New Roman" w:hAnsi="Times New Roman" w:eastAsia="Times New Roman"/>
                <w:b w:val="0"/>
                <w:sz w:val="18"/>
              </w:rPr>
              <w:t>https://qastio.app/</w:t>
            </w:r>
          </w:p>
        </w:tc>
      </w:tr>
    </w:tbl>
    <w:p>
      <w:pPr/>
      <w:r>
        <w:rPr>
          <w:rFonts w:ascii="Times New Roman" w:hAnsi="Times New Roman" w:eastAsia="Times New Roman"/>
        </w:rPr>
      </w:r>
      <w:r>
        <w:rPr>
          <w:rFonts w:ascii="Times New Roman" w:hAnsi="Times New Roman" w:eastAsia="Times New Roman"/>
        </w:rPr>
      </w:r>
    </w:p>
    <w:p>
      <w:pPr>
        <w:pStyle w:val="Heading1"/>
      </w:pPr>
      <w:r>
        <w:rPr>
          <w:rFonts w:ascii="Times New Roman" w:hAnsi="Times New Roman" w:eastAsia="Times New Roman"/>
        </w:rPr>
        <w:t>1. Identitet i kontakt</w:t>
      </w:r>
    </w:p>
    <w:p>
      <w:pPr/>
      <w:r>
        <w:rPr>
          <w:rFonts w:ascii="Times New Roman" w:hAnsi="Times New Roman" w:eastAsia="Times New Roman"/>
        </w:rPr>
        <w:t>Qastio platformom na teritoriji Republike Srbije upravlja FOODIT SOLUTIONS DOO BEOGRAD (VOŽDOVAC), matični broj 22319183, PIB 115827499, sa sedištem na adresi Todora Dukina 44, Beograd (Voždovac), Republika Srbija, email: eleznikola5@gmail.com, direktor Nikola Elez. FOODIT je pružalac Qastio digitalne usluge i jedina javno označena ugovorna strana platforme u Srbiji, osim kada je pre konkretne transakcije jasno naveden restoran, pružalac platnih usluga ili drugo lice za oblast pod njegovom kontrolom.</w:t>
      </w:r>
    </w:p>
    <w:p>
      <w:pPr/>
      <w:r>
        <w:rPr>
          <w:rFonts w:ascii="Times New Roman" w:hAnsi="Times New Roman" w:eastAsia="Times New Roman"/>
        </w:rPr>
        <w:t>FOODIT organizuje lokalno poslovanje Qastio platforme, zaključuje odobrene ugovore u svoje ime, pruža lokalnu podršku, vodi pritužbe i angažuje tehničke i druge obrađivače potrebne za rad platforme. Identitet takvih dobavljača objavljuje se samo kada to zahteva zakon ili odgovarajuća javna evidencija.</w:t>
      </w:r>
    </w:p>
    <w:p>
      <w:pPr>
        <w:pStyle w:val="Heading1"/>
      </w:pPr>
      <w:r>
        <w:rPr>
          <w:rFonts w:ascii="Times New Roman" w:hAnsi="Times New Roman" w:eastAsia="Times New Roman"/>
        </w:rPr>
        <w:t>2. Uloga Qastio platforme</w:t>
      </w:r>
    </w:p>
    <w:p>
      <w:pPr/>
      <w:r>
        <w:rPr>
          <w:rFonts w:ascii="Times New Roman" w:hAnsi="Times New Roman" w:eastAsia="Times New Roman"/>
        </w:rPr>
        <w:t>Qastio omogućava pronalaženje restorana, digitalne menije, QR i NFC interakcije, komunikaciju, poručivanje i, samo kada su posebno aktivirani, rezervacije, programe lojalnosti, onlajn plaćanja, napojnice, promociju, nabavku, analitiku i integracije.</w:t>
      </w:r>
    </w:p>
    <w:p>
      <w:pPr>
        <w:pStyle w:val="Heading1"/>
      </w:pPr>
      <w:r>
        <w:rPr>
          <w:rFonts w:ascii="Times New Roman" w:hAnsi="Times New Roman" w:eastAsia="Times New Roman"/>
        </w:rPr>
        <w:t>3. Ko je prodavac</w:t>
      </w:r>
    </w:p>
    <w:p>
      <w:pPr/>
      <w:r>
        <w:rPr>
          <w:rFonts w:ascii="Times New Roman" w:hAnsi="Times New Roman" w:eastAsia="Times New Roman"/>
        </w:rPr>
        <w:t>Restoran je prodavac hrane, pića i ugostiteljske usluge, osim kada je pre potvrde transakcije jasno navedeno drugo pravno lice. Restoran odgovara za meni, cenu, poreze, alergene, bezbednost hrane, pripremu, isporuku, fiskalni račun i rešavanje reklamacije koja se odnosi na njegovu robu ili uslugu.</w:t>
      </w:r>
    </w:p>
    <w:p>
      <w:pPr/>
      <w:r>
        <w:rPr>
          <w:rFonts w:ascii="Times New Roman" w:hAnsi="Times New Roman" w:eastAsia="Times New Roman"/>
        </w:rPr>
        <w:t>FOODIT je pružalac digitalne Qastio usluge u Srbiji i trgovac za usluge ili proizvode koje nudi i fakturiše u svoje ime, uključujući odobrene štampane materijale i lokalne komercijalne usluge. Restoran ostaje prodavac hrane, pića i ugostiteljske usluge, osim kada je pre potvrde transakcije jasno navedeno drugo lice.</w:t>
      </w:r>
    </w:p>
    <w:p>
      <w:pPr>
        <w:pStyle w:val="Heading1"/>
      </w:pPr>
      <w:r>
        <w:rPr>
          <w:rFonts w:ascii="Times New Roman" w:hAnsi="Times New Roman" w:eastAsia="Times New Roman"/>
        </w:rPr>
        <w:t>4. Plaćanja</w:t>
      </w:r>
    </w:p>
    <w:p>
      <w:pPr/>
      <w:r>
        <w:rPr>
          <w:rFonts w:ascii="Times New Roman" w:hAnsi="Times New Roman" w:eastAsia="Times New Roman"/>
        </w:rPr>
        <w:t>Ako je onlajn plaćanje aktivirano, ekran plaćanja mora pre potvrde da prikaže ovlašćenog pružaoca platnih usluga, trgovca, primaoca sredstava, ukupan iznos i svaku naknadu. FOODIT se ne predstavlja kao pružalac platnih usluga bez odgovarajućeg odobrenja i ugovorne strukture.</w:t>
      </w:r>
    </w:p>
    <w:p>
      <w:pPr>
        <w:pStyle w:val="Heading1"/>
      </w:pPr>
      <w:r>
        <w:rPr>
          <w:rFonts w:ascii="Times New Roman" w:hAnsi="Times New Roman" w:eastAsia="Times New Roman"/>
        </w:rPr>
        <w:t>5. Javni podaci, statusi i oglasi</w:t>
      </w:r>
    </w:p>
    <w:p>
      <w:pPr/>
      <w:r>
        <w:rPr>
          <w:rFonts w:ascii="Times New Roman" w:hAnsi="Times New Roman" w:eastAsia="Times New Roman"/>
        </w:rPr>
        <w:t>Platforma može prikazivati partnerske i neproverene javne liste. Statusi „Unverified“, „Claimed“, „Verified“, „Partner“, „Ordering Enabled“ i „Sponsored“ imaju različita značenja. Plaćeno pozicioniranje mora biti jasno označeno i ne predstavlja verifikaciju ili garanciju kvaliteta.</w:t>
      </w:r>
    </w:p>
    <w:p>
      <w:pPr>
        <w:pStyle w:val="Heading1"/>
      </w:pPr>
      <w:r>
        <w:rPr>
          <w:rFonts w:ascii="Times New Roman" w:hAnsi="Times New Roman" w:eastAsia="Times New Roman"/>
        </w:rPr>
        <w:t>6. Pritužbe i reklamacije</w:t>
      </w:r>
    </w:p>
    <w:p>
      <w:pPr/>
      <w:r>
        <w:rPr>
          <w:rFonts w:ascii="Times New Roman" w:hAnsi="Times New Roman" w:eastAsia="Times New Roman"/>
        </w:rPr>
        <w:t>Pritužbe koje se odnose na Qastio uslugu u Srbiji podnose se FOODIT-u na email eleznikola5@gmail.com ili poštom na adresu Todora Dukina 44, Beograd (Voždovac), Republika Srbija. FOODIT interno uključuje svoje tehničke ili druge pružaoce usluga kada je to potrebno za rešavanje problema. Pritužba na hranu ili ugostiteljsku uslugu prosleđuje se odgovornom restoranu, bez uskraćivanja prava potrošača.</w:t>
      </w:r>
    </w:p>
    <w:p>
      <w:pPr/>
      <w:r>
        <w:rPr>
          <w:rFonts w:ascii="Times New Roman" w:hAnsi="Times New Roman" w:eastAsia="Times New Roman"/>
        </w:rPr>
        <w:t>Trgovac koji je odgovoran za konkretnu transakciju učestvuje u postupku vansudskog rešavanja potrošačkog spora kada je to obavezno po važećem zakonu. Potrošač prethodno podnosi reklamaciju ili prigovor trgovcu.</w:t>
      </w:r>
    </w:p>
    <w:p>
      <w:pPr>
        <w:pStyle w:val="Heading1"/>
      </w:pPr>
      <w:r>
        <w:rPr>
          <w:rFonts w:ascii="Times New Roman" w:hAnsi="Times New Roman" w:eastAsia="Times New Roman"/>
        </w:rPr>
        <w:t>7. Važeće pravo i jezik</w:t>
      </w:r>
    </w:p>
    <w:p>
      <w:pPr/>
      <w:r>
        <w:rPr>
          <w:rFonts w:ascii="Times New Roman" w:hAnsi="Times New Roman" w:eastAsia="Times New Roman"/>
        </w:rPr>
        <w:t>Za usluge na teritoriji Republike Srbije primenjuje se pravo Republike Srbije. Obavezna prava potrošača i druga prinudna pravila ne mogu se isključiti. Srpska verzija javnih dokumenata ima prednost za korisnike u Srbiji.</w:t>
      </w:r>
    </w:p>
    <w:p>
      <w:pPr>
        <w:pStyle w:val="Heading1"/>
      </w:pPr>
      <w:r>
        <w:rPr>
          <w:rFonts w:ascii="Times New Roman" w:hAnsi="Times New Roman" w:eastAsia="Times New Roman"/>
        </w:rPr>
        <w:t>Pravni izvori</w:t>
      </w:r>
    </w:p>
    <w:p>
      <w:pPr/>
      <w:r>
        <w:rPr>
          <w:rFonts w:ascii="Times New Roman" w:hAnsi="Times New Roman" w:eastAsia="Times New Roman"/>
        </w:rPr>
        <w:t>Dokument se primenjuje zajedno sa važećim propisima i njihovim prelaznim odredbama. Sledeće veze vode ka zvaničnim izvorima:</w:t>
      </w:r>
    </w:p>
    <w:p>
      <w:pPr>
        <w:pStyle w:val="ListBullet"/>
      </w:pPr>
      <w:r>
        <w:rPr>
          <w:rFonts w:ascii="Times New Roman" w:hAnsi="Times New Roman" w:eastAsia="Times New Roman"/>
        </w:rPr>
        <w:t>Zakon o elektronskoj trgovini Republike Srbije - važeći tekst: https://pravno-informacioni-sistem.rs/SlGlasnikPortal/eli/rep/sgrs/skupstina/zakon/2009/41/4/reg</w:t>
      </w:r>
    </w:p>
    <w:p>
      <w:pPr>
        <w:pStyle w:val="ListBullet"/>
      </w:pPr>
      <w:r>
        <w:rPr>
          <w:rFonts w:ascii="Times New Roman" w:hAnsi="Times New Roman" w:eastAsia="Times New Roman"/>
        </w:rPr>
        <w:t>Zakon o zaštiti podataka o ličnosti ("Sl. glasnik RS", br. 87/2018): https://pravno-informacioni-sistem.rs/SlGlasnikPortal/eli/rep/sgrs/skupstina/zakon/2018/87/13/reg</w:t>
      </w:r>
    </w:p>
    <w:p>
      <w:pPr>
        <w:pStyle w:val="ListBullet"/>
      </w:pPr>
      <w:r>
        <w:rPr>
          <w:rFonts w:ascii="Times New Roman" w:hAnsi="Times New Roman" w:eastAsia="Times New Roman"/>
        </w:rPr>
        <w:t>Zakon o zaštiti potrošača - važeći tekst i prelazne odredbe: https://www.parlament.gov.rs/upload/archive/files/lat/pdf/zakoni/14_saziv/1317-26-lat..pdf</w:t>
      </w:r>
    </w:p>
    <w:p>
      <w:pPr>
        <w:pStyle w:val="ListBullet"/>
      </w:pPr>
      <w:r>
        <w:rPr>
          <w:rFonts w:ascii="Times New Roman" w:hAnsi="Times New Roman" w:eastAsia="Times New Roman"/>
        </w:rPr>
        <w:t>Zakon o oglašavanju Republike Srbije - važeći tekst: https://pravno-informacioni-sistem.rs/eli/rep/sgrs/skupstina/zakon/2016/6/4/reg</w:t>
      </w:r>
    </w:p>
    <w:sectPr w:rsidR="00FC693F" w:rsidRPr="0006063C" w:rsidSect="00034616">
      <w:headerReference w:type="default" r:id="rId9"/>
      <w:footerReference w:type="default" r:id="rId10"/>
      <w:pgSz w:w="11906" w:h="16838"/>
      <w:pgMar w:top="1247" w:right="1361" w:bottom="1247" w:left="136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color w:val="5A5A5A"/>
        <w:sz w:val="18"/>
      </w:rPr>
      <w:t>Qastio | FOODIT SOLUTIONS DOO | Controlled document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jc w:val="both"/>
    </w:pPr>
    <w:rPr>
      <w:rFonts w:ascii="Times New Roman" w:hAnsi="Times New Roman" w:eastAsia="Times New Roman"/>
      <w:color w:val="000000"/>
      <w:sz w:val="22"/>
      <w:lang w:val="sr-Latn-RS"/>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jc w:val="left"/>
      <w:outlineLvl w:val="0"/>
    </w:pPr>
    <w:rPr>
      <w:rFonts w:asciiTheme="majorHAnsi" w:eastAsiaTheme="majorEastAsia" w:hAnsiTheme="majorHAnsi" w:cstheme="majorBidi" w:ascii="Times New Roman" w:hAnsi="Times New Roman" w:eastAsia="Times New Roman"/>
      <w:b/>
      <w:bCs/>
      <w:color w:val="000000"/>
      <w:sz w:val="28"/>
      <w:szCs w:val="28"/>
      <w:lang w:val="sr-Latn-RS"/>
    </w:rPr>
  </w:style>
  <w:style w:type="paragraph" w:styleId="Heading2">
    <w:name w:val="heading 2"/>
    <w:basedOn w:val="Normal"/>
    <w:next w:val="Normal"/>
    <w:link w:val="Heading2Char"/>
    <w:uiPriority w:val="9"/>
    <w:unhideWhenUsed/>
    <w:qFormat/>
    <w:rsid w:val="00FC693F"/>
    <w:pPr>
      <w:keepNext/>
      <w:keepLines/>
      <w:spacing w:before="200" w:after="100"/>
      <w:jc w:val="left"/>
      <w:outlineLvl w:val="1"/>
    </w:pPr>
    <w:rPr>
      <w:rFonts w:asciiTheme="majorHAnsi" w:eastAsiaTheme="majorEastAsia" w:hAnsiTheme="majorHAnsi" w:cstheme="majorBidi" w:ascii="Times New Roman" w:hAnsi="Times New Roman" w:eastAsia="Times New Roman"/>
      <w:b/>
      <w:bCs/>
      <w:color w:val="000000"/>
      <w:sz w:val="25"/>
      <w:szCs w:val="26"/>
      <w:lang w:val="sr-Latn-RS"/>
    </w:rPr>
  </w:style>
  <w:style w:type="paragraph" w:styleId="Heading3">
    <w:name w:val="heading 3"/>
    <w:basedOn w:val="Normal"/>
    <w:next w:val="Normal"/>
    <w:link w:val="Heading3Char"/>
    <w:uiPriority w:val="9"/>
    <w:unhideWhenUsed/>
    <w:qFormat/>
    <w:rsid w:val="00FC693F"/>
    <w:pPr>
      <w:keepNext/>
      <w:keepLines/>
      <w:spacing w:before="200" w:after="100"/>
      <w:jc w:val="left"/>
      <w:outlineLvl w:val="2"/>
    </w:pPr>
    <w:rPr>
      <w:rFonts w:asciiTheme="majorHAnsi" w:eastAsiaTheme="majorEastAsia" w:hAnsiTheme="majorHAnsi" w:cstheme="majorBidi" w:ascii="Times New Roman" w:hAnsi="Times New Roman" w:eastAsia="Times New Roman"/>
      <w:b/>
      <w:bCs/>
      <w:color w:val="000000"/>
      <w:sz w:val="23"/>
      <w:lang w:val="sr-Latn-R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lang w:val="sr-Latn-R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lang w:val="sr-Latn-RS"/>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lang w:val="sr-Latn-R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lang w:val="sr-Latn-R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lang w:val="sr-Latn-RS"/>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val="0"/>
      <w:pBdr>
        <w:bottom w:val="single" w:sz="8" w:space="4" w:color="4F81BD" w:themeColor="accent1"/>
      </w:pBdr>
      <w:spacing w:after="100" w:line="240" w:lineRule="auto" w:before="0"/>
      <w:contextualSpacing/>
      <w:jc w:val="center"/>
    </w:pPr>
    <w:rPr>
      <w:rFonts w:asciiTheme="majorHAnsi" w:eastAsiaTheme="majorEastAsia" w:hAnsiTheme="majorHAnsi" w:cstheme="majorBidi" w:ascii="Times New Roman" w:hAnsi="Times New Roman" w:eastAsia="Times New Roman"/>
      <w:b/>
      <w:color w:val="000000"/>
      <w:spacing w:val="5"/>
      <w:kern w:val="28"/>
      <w:sz w:val="36"/>
      <w:szCs w:val="52"/>
      <w:lang w:val="sr-Latn-R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val="0"/>
      <w:numPr>
        <w:ilvl w:val="1"/>
      </w:numPr>
      <w:spacing w:before="0" w:after="100"/>
      <w:jc w:val="center"/>
    </w:pPr>
    <w:rPr>
      <w:rFonts w:asciiTheme="majorHAnsi" w:eastAsiaTheme="majorEastAsia" w:hAnsiTheme="majorHAnsi" w:cstheme="majorBidi" w:ascii="Times New Roman" w:hAnsi="Times New Roman" w:eastAsia="Times New Roman"/>
      <w:b w:val="0"/>
      <w:i/>
      <w:iCs/>
      <w:color w:val="000000"/>
      <w:spacing w:val="15"/>
      <w:sz w:val="22"/>
      <w:szCs w:val="24"/>
      <w:lang w:val="sr-Latn-R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lang w:val="sr-Latn-RS"/>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Times New Roman" w:hAnsi="Times New Roman" w:eastAsia="Times New Roman"/>
      <w:sz w:val="22"/>
      <w:lang w:val="sr-Latn-RS"/>
    </w:rPr>
  </w:style>
  <w:style w:type="paragraph" w:styleId="ListBullet2">
    <w:name w:val="List Bullet 2"/>
    <w:basedOn w:val="Normal"/>
    <w:uiPriority w:val="99"/>
    <w:unhideWhenUsed/>
    <w:rsid w:val="00326F90"/>
    <w:pPr>
      <w:numPr>
        <w:numId w:val="2"/>
      </w:numPr>
      <w:spacing w:after="60"/>
      <w:contextualSpacing/>
    </w:pPr>
    <w:rPr>
      <w:rFonts w:ascii="Times New Roman" w:hAnsi="Times New Roman" w:eastAsia="Times New Roman"/>
      <w:sz w:val="22"/>
      <w:lang w:val="sr-Latn-RS"/>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60"/>
      <w:contextualSpacing/>
    </w:pPr>
    <w:rPr>
      <w:rFonts w:ascii="Times New Roman" w:hAnsi="Times New Roman" w:eastAsia="Times New Roman"/>
      <w:sz w:val="22"/>
      <w:lang w:val="sr-Latn-RS"/>
    </w:rPr>
  </w:style>
  <w:style w:type="paragraph" w:styleId="ListNumber2">
    <w:name w:val="List Number 2"/>
    <w:basedOn w:val="Normal"/>
    <w:uiPriority w:val="99"/>
    <w:unhideWhenUsed/>
    <w:rsid w:val="0029639D"/>
    <w:pPr>
      <w:numPr>
        <w:numId w:val="6"/>
      </w:numPr>
      <w:spacing w:after="60"/>
      <w:contextualSpacing/>
    </w:pPr>
    <w:rPr>
      <w:rFonts w:ascii="Times New Roman" w:hAnsi="Times New Roman" w:eastAsia="Times New Roman"/>
      <w:sz w:val="22"/>
      <w:lang w:val="sr-Latn-RS"/>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lang w:val="sr-Latn-RS"/>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lang w:val="sr-Latn-R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lang w:val="sr-Latn-RS"/>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lang w:val="sr-Latn-R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Pravno obaveštenje i podaci o operatoru</dc:title>
  <dc:subject>Qastio Serbia legal and operational documentation</dc:subject>
  <dc:creator>FOODIT SOLUTIONS DOO BEOGRAD (VOŽDOVAC)</dc:creator>
  <cp:keywords>Qastio, FOODIT, Serbia</cp:keywords>
  <dc:description>generated by python-docx</dc:description>
  <cp:lastModifiedBy/>
  <cp:revision>1</cp:revision>
  <dcterms:created xsi:type="dcterms:W3CDTF">2013-12-23T23:15:00Z</dcterms:created>
  <dcterms:modified xsi:type="dcterms:W3CDTF">2013-12-23T23:15:00Z</dcterms:modified>
  <cp:category/>
</cp:coreProperties>
</file>